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3F9EDE88"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182537" w:rsidRPr="00182537">
        <w:rPr>
          <w:szCs w:val="22"/>
        </w:rPr>
        <w:t>R4-2409169</w:t>
      </w:r>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3706D0A2"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1503CF">
        <w:rPr>
          <w:rFonts w:ascii="Arial" w:hAnsi="Arial" w:cs="Arial"/>
          <w:sz w:val="22"/>
          <w:szCs w:val="22"/>
        </w:rPr>
        <w:t>10.1.1.3.1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3605E00" w14:textId="5FB035E5" w:rsidR="00AB1467" w:rsidRPr="00F03463" w:rsidRDefault="00E11C52" w:rsidP="00F03463">
      <w:pPr>
        <w:jc w:val="both"/>
      </w:pPr>
      <w:r>
        <w:t>During</w:t>
      </w:r>
      <w:r w:rsidR="00AB1467">
        <w:t xml:space="preserve"> RAN</w:t>
      </w:r>
      <w:r w:rsidR="009676FD">
        <w:t>4</w:t>
      </w:r>
      <w:r w:rsidR="008B6EC4">
        <w:t>#</w:t>
      </w:r>
      <w:r w:rsidR="00F72EAC">
        <w:t>1</w:t>
      </w:r>
      <w:r w:rsidR="009676FD">
        <w:t>10bis</w:t>
      </w:r>
      <w:r w:rsidR="008B6EC4">
        <w:t xml:space="preserve">, </w:t>
      </w:r>
      <w:r w:rsidR="009D1752">
        <w:t>power domain enhancement for single carrier</w:t>
      </w:r>
      <w:r w:rsidR="00F06EA1">
        <w:t xml:space="preserve"> </w:t>
      </w:r>
      <w:r w:rsidR="008741F1">
        <w:t>has</w:t>
      </w:r>
      <w:r w:rsidR="00F06EA1">
        <w:t xml:space="preserve"> been </w:t>
      </w:r>
      <w:r w:rsidR="008741F1">
        <w:t>discussed</w:t>
      </w:r>
      <w:r w:rsidR="00F06EA1">
        <w:t>.</w:t>
      </w:r>
      <w:r w:rsidR="008741F1">
        <w:t xml:space="preserve"> Following conclusion</w:t>
      </w:r>
      <w:r w:rsidR="002D7B52">
        <w: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B6CED6E" w14:textId="69812AB2" w:rsidR="00037BE4" w:rsidRPr="00AB3D40" w:rsidRDefault="00037BE4" w:rsidP="00037BE4">
            <w:pPr>
              <w:pStyle w:val="1"/>
              <w:numPr>
                <w:ilvl w:val="0"/>
                <w:numId w:val="0"/>
              </w:numPr>
              <w:ind w:left="533" w:hanging="533"/>
              <w:jc w:val="both"/>
              <w:outlineLvl w:val="0"/>
              <w:rPr>
                <w:lang w:eastAsia="zh-CN"/>
              </w:rPr>
            </w:pPr>
            <w:r w:rsidRPr="0021761F">
              <w:rPr>
                <w:rFonts w:hint="eastAsia"/>
              </w:rPr>
              <w:lastRenderedPageBreak/>
              <w:t>P</w:t>
            </w:r>
            <w:r w:rsidRPr="00AD6F8C">
              <w:t>ower domain enhancements for single carrier</w:t>
            </w:r>
          </w:p>
          <w:p w14:paraId="4CDD8C65" w14:textId="56011F2D" w:rsidR="00037BE4" w:rsidRPr="00431D02" w:rsidRDefault="00037BE4" w:rsidP="00F03463">
            <w:pPr>
              <w:pStyle w:val="2"/>
              <w:numPr>
                <w:ilvl w:val="0"/>
                <w:numId w:val="0"/>
              </w:numPr>
              <w:spacing w:after="240"/>
              <w:outlineLvl w:val="1"/>
              <w:rPr>
                <w:sz w:val="24"/>
                <w:lang w:eastAsia="zh-CN"/>
              </w:rPr>
            </w:pPr>
            <w:r w:rsidRPr="0021761F">
              <w:rPr>
                <w:sz w:val="24"/>
              </w:rPr>
              <w:t>Scenarios for power domain enhancements for single carrier</w:t>
            </w:r>
          </w:p>
          <w:p w14:paraId="6A5FED35" w14:textId="77777777" w:rsidR="00037BE4" w:rsidRDefault="00037BE4" w:rsidP="00037BE4">
            <w:pPr>
              <w:pStyle w:val="B10"/>
              <w:ind w:left="0" w:firstLine="0"/>
            </w:pPr>
            <w:r w:rsidRPr="009A29BC">
              <w:rPr>
                <w:b/>
                <w:szCs w:val="24"/>
              </w:rPr>
              <w:t>Scenario 1-1</w:t>
            </w:r>
            <w:r>
              <w:rPr>
                <w:szCs w:val="24"/>
              </w:rPr>
              <w:t xml:space="preserve">: Scenario with no </w:t>
            </w:r>
            <w:r w:rsidRPr="00755315">
              <w:t>adjacent in-band/out-of-band co-existence issue</w:t>
            </w:r>
            <w:r>
              <w:t xml:space="preserve"> (single operator)</w:t>
            </w:r>
          </w:p>
          <w:p w14:paraId="7D1C0761" w14:textId="77777777" w:rsidR="00037BE4" w:rsidRDefault="00037BE4" w:rsidP="00037BE4">
            <w:pPr>
              <w:pStyle w:val="B10"/>
              <w:ind w:left="0" w:firstLine="0"/>
            </w:pPr>
            <w:r w:rsidRPr="009A29BC">
              <w:rPr>
                <w:b/>
                <w:szCs w:val="24"/>
              </w:rPr>
              <w:t>Scenario 1-2</w:t>
            </w:r>
            <w:r>
              <w:rPr>
                <w:szCs w:val="24"/>
              </w:rPr>
              <w:t xml:space="preserve">: Scenario with no </w:t>
            </w:r>
            <w:r w:rsidRPr="00755315">
              <w:t>adjacent in-band/out-of-band co-existence issue</w:t>
            </w:r>
            <w:r>
              <w:t xml:space="preserve"> (adjacent operators)</w:t>
            </w:r>
          </w:p>
          <w:p w14:paraId="3754217B" w14:textId="77777777" w:rsidR="00037BE4" w:rsidRDefault="00037BE4" w:rsidP="00037BE4">
            <w:pPr>
              <w:pStyle w:val="B10"/>
              <w:ind w:left="0" w:firstLine="0"/>
            </w:pPr>
            <w:r w:rsidRPr="009A29BC">
              <w:rPr>
                <w:b/>
                <w:szCs w:val="24"/>
              </w:rPr>
              <w:t>Scenario 2</w:t>
            </w:r>
            <w:r>
              <w:rPr>
                <w:szCs w:val="24"/>
              </w:rPr>
              <w:t xml:space="preserve">: </w:t>
            </w:r>
            <w:r w:rsidRPr="00755315">
              <w:t>Narrower UE channel BW within wider BS bandwidth</w:t>
            </w:r>
          </w:p>
          <w:p w14:paraId="31952E4C" w14:textId="77777777" w:rsidR="00037BE4" w:rsidRPr="00F03463" w:rsidRDefault="00037BE4" w:rsidP="00037BE4">
            <w:pPr>
              <w:pStyle w:val="B10"/>
              <w:ind w:left="0" w:firstLine="0"/>
              <w:rPr>
                <w:b/>
              </w:rPr>
            </w:pPr>
            <w:r w:rsidRPr="00F03463">
              <w:rPr>
                <w:b/>
              </w:rPr>
              <w:t xml:space="preserve">Way forward: </w:t>
            </w:r>
          </w:p>
          <w:p w14:paraId="431DDF71"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F03463">
              <w:rPr>
                <w:rFonts w:ascii="Times New Roman" w:eastAsiaTheme="minorEastAsia" w:hAnsi="Times New Roman"/>
                <w:sz w:val="20"/>
                <w:lang w:eastAsia="zh-CN"/>
              </w:rPr>
              <w:t xml:space="preserve">Prioritize scenario 1-1 and scenario 2 for initial study of power domain enhancements for single carrier in terms of relaxed requirements </w:t>
            </w:r>
          </w:p>
          <w:p w14:paraId="6C11D6FA" w14:textId="77777777" w:rsidR="00037BE4" w:rsidRPr="00F03463" w:rsidRDefault="00037BE4" w:rsidP="00037BE4">
            <w:pPr>
              <w:pStyle w:val="aff6"/>
              <w:widowControl/>
              <w:numPr>
                <w:ilvl w:val="1"/>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F03463">
              <w:rPr>
                <w:rFonts w:ascii="Times New Roman" w:eastAsiaTheme="minorEastAsia" w:hAnsi="Times New Roman"/>
                <w:sz w:val="20"/>
                <w:lang w:eastAsia="zh-CN"/>
              </w:rPr>
              <w:t>FFS on sub-scenarios of scenario 2.</w:t>
            </w:r>
          </w:p>
          <w:p w14:paraId="0371285D"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F03463">
              <w:rPr>
                <w:rFonts w:ascii="Times New Roman" w:eastAsiaTheme="minorEastAsia" w:hAnsi="Times New Roman"/>
                <w:sz w:val="20"/>
                <w:lang w:eastAsia="zh-CN"/>
              </w:rPr>
              <w:t>Scenario 1-2 will be studied after scenario 1-1 and scenario 2</w:t>
            </w:r>
          </w:p>
          <w:p w14:paraId="27262EDC" w14:textId="77777777" w:rsidR="00037BE4" w:rsidRPr="004A5489" w:rsidRDefault="00037BE4" w:rsidP="00037BE4">
            <w:pPr>
              <w:pStyle w:val="aff6"/>
              <w:ind w:left="560" w:firstLineChars="0" w:firstLine="0"/>
              <w:rPr>
                <w:rFonts w:eastAsiaTheme="minorEastAsia"/>
                <w:lang w:eastAsia="zh-CN"/>
              </w:rPr>
            </w:pPr>
          </w:p>
          <w:p w14:paraId="7EE074CD" w14:textId="61B00ADB" w:rsidR="00037BE4" w:rsidRPr="0021761F" w:rsidRDefault="00F03463" w:rsidP="00F03463">
            <w:pPr>
              <w:pStyle w:val="2"/>
              <w:numPr>
                <w:ilvl w:val="0"/>
                <w:numId w:val="0"/>
              </w:numPr>
              <w:spacing w:after="240"/>
              <w:outlineLvl w:val="1"/>
              <w:rPr>
                <w:sz w:val="24"/>
              </w:rPr>
            </w:pPr>
            <w:r>
              <w:rPr>
                <w:sz w:val="24"/>
              </w:rPr>
              <w:t>R</w:t>
            </w:r>
            <w:r w:rsidR="00037BE4" w:rsidRPr="0021761F">
              <w:rPr>
                <w:sz w:val="24"/>
              </w:rPr>
              <w:t>elaxed requirements from co-existence/regulation perspective</w:t>
            </w:r>
          </w:p>
          <w:p w14:paraId="03EDD63C" w14:textId="77777777" w:rsidR="00037BE4" w:rsidRDefault="00037BE4" w:rsidP="00037BE4">
            <w:pPr>
              <w:overflowPunct/>
              <w:autoSpaceDE/>
              <w:autoSpaceDN/>
              <w:adjustRightInd/>
              <w:spacing w:after="120"/>
              <w:textAlignment w:val="auto"/>
              <w:rPr>
                <w:color w:val="0070C0"/>
                <w:szCs w:val="24"/>
              </w:rPr>
            </w:pPr>
            <w:r>
              <w:rPr>
                <w:b/>
              </w:rPr>
              <w:t>Way forward:</w:t>
            </w:r>
            <w:r>
              <w:rPr>
                <w:color w:val="0070C0"/>
                <w:szCs w:val="24"/>
              </w:rPr>
              <w:t xml:space="preserve"> </w:t>
            </w:r>
          </w:p>
          <w:p w14:paraId="564075B7"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eastAsiaTheme="minorEastAsia" w:hAnsi="Times New Roman"/>
                <w:sz w:val="20"/>
                <w:lang w:eastAsia="zh-CN"/>
              </w:rPr>
            </w:pPr>
            <w:r w:rsidRPr="00F03463">
              <w:rPr>
                <w:rFonts w:ascii="Times New Roman" w:eastAsiaTheme="minorEastAsia" w:hAnsi="Times New Roman"/>
                <w:sz w:val="20"/>
                <w:lang w:eastAsia="zh-CN"/>
              </w:rPr>
              <w:t>For regions where a</w:t>
            </w:r>
            <w:r w:rsidRPr="00F03463">
              <w:rPr>
                <w:rFonts w:ascii="Times New Roman" w:eastAsiaTheme="minorEastAsia" w:hAnsi="Times New Roman" w:hint="eastAsia"/>
                <w:sz w:val="20"/>
                <w:lang w:eastAsia="zh-CN"/>
              </w:rPr>
              <w:t>t</w:t>
            </w:r>
            <w:r w:rsidRPr="00F03463">
              <w:rPr>
                <w:rFonts w:ascii="Times New Roman" w:eastAsiaTheme="minorEastAsia" w:hAnsi="Times New Roman"/>
                <w:sz w:val="20"/>
                <w:lang w:eastAsia="zh-CN"/>
              </w:rPr>
              <w:t xml:space="preserve"> least ACLR and SEM can be relaxed for the identified scenarios, FFS whether SE could be relaxed, or under which conditions can be relaxed. </w:t>
            </w:r>
          </w:p>
          <w:p w14:paraId="01F0D6FC" w14:textId="77777777" w:rsidR="00037BE4" w:rsidRPr="000E1B46" w:rsidRDefault="00037BE4" w:rsidP="00037BE4">
            <w:pPr>
              <w:pStyle w:val="B10"/>
              <w:ind w:left="0" w:firstLine="0"/>
              <w:rPr>
                <w:rFonts w:eastAsiaTheme="minorEastAsia"/>
              </w:rPr>
            </w:pPr>
          </w:p>
          <w:p w14:paraId="0F742B6F" w14:textId="56D1233C" w:rsidR="00037BE4" w:rsidRPr="00431D02" w:rsidRDefault="00037BE4" w:rsidP="00F03463">
            <w:pPr>
              <w:pStyle w:val="2"/>
              <w:numPr>
                <w:ilvl w:val="0"/>
                <w:numId w:val="0"/>
              </w:numPr>
              <w:spacing w:after="240"/>
              <w:outlineLvl w:val="1"/>
              <w:rPr>
                <w:sz w:val="24"/>
                <w:lang w:eastAsia="zh-CN"/>
              </w:rPr>
            </w:pPr>
            <w:r w:rsidRPr="00742D7B">
              <w:rPr>
                <w:sz w:val="24"/>
              </w:rPr>
              <w:t>General considerations for power domain enhancements</w:t>
            </w:r>
          </w:p>
          <w:p w14:paraId="76B30968" w14:textId="77777777" w:rsidR="00037BE4" w:rsidRDefault="00037BE4" w:rsidP="00037BE4">
            <w:pPr>
              <w:rPr>
                <w:b/>
              </w:rPr>
            </w:pPr>
            <w:r>
              <w:rPr>
                <w:b/>
              </w:rPr>
              <w:t>Way forward:</w:t>
            </w:r>
          </w:p>
          <w:p w14:paraId="4D7CC195"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F03463">
              <w:rPr>
                <w:rFonts w:ascii="Times New Roman" w:eastAsiaTheme="minorEastAsia" w:hAnsi="Times New Roman"/>
                <w:sz w:val="20"/>
                <w:lang w:eastAsia="zh-CN"/>
              </w:rPr>
              <w:t>Only requirements relaxation should be considered for power domain enhancements in Rel-19</w:t>
            </w:r>
          </w:p>
          <w:p w14:paraId="461B530F" w14:textId="77777777" w:rsidR="00037BE4" w:rsidRPr="00F03463" w:rsidRDefault="00037BE4" w:rsidP="00037BE4">
            <w:pPr>
              <w:pStyle w:val="aff6"/>
              <w:widowControl/>
              <w:numPr>
                <w:ilvl w:val="1"/>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F03463">
              <w:rPr>
                <w:rFonts w:ascii="Times New Roman" w:hAnsi="Times New Roman"/>
                <w:sz w:val="20"/>
                <w:szCs w:val="24"/>
                <w:lang w:eastAsia="zh-CN"/>
              </w:rPr>
              <w:t>only consider general requirements for the further evaluation</w:t>
            </w:r>
          </w:p>
          <w:p w14:paraId="214E4FCD"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F03463">
              <w:rPr>
                <w:rFonts w:ascii="Times New Roman" w:eastAsiaTheme="minorEastAsia" w:hAnsi="Times New Roman"/>
                <w:sz w:val="20"/>
                <w:lang w:eastAsia="zh-CN"/>
              </w:rPr>
              <w:t>No power domain enhancements based on BWP is considered</w:t>
            </w:r>
          </w:p>
          <w:p w14:paraId="54582DC9" w14:textId="77777777" w:rsidR="00037BE4" w:rsidRDefault="00037BE4" w:rsidP="00037BE4"/>
          <w:p w14:paraId="55E14857" w14:textId="399D5052" w:rsidR="00037BE4" w:rsidRPr="00431D02" w:rsidRDefault="00037BE4" w:rsidP="00F03463">
            <w:pPr>
              <w:pStyle w:val="2"/>
              <w:numPr>
                <w:ilvl w:val="0"/>
                <w:numId w:val="0"/>
              </w:numPr>
              <w:spacing w:after="240"/>
              <w:outlineLvl w:val="1"/>
              <w:rPr>
                <w:sz w:val="24"/>
                <w:lang w:eastAsia="zh-CN"/>
              </w:rPr>
            </w:pPr>
            <w:r>
              <w:rPr>
                <w:sz w:val="24"/>
              </w:rPr>
              <w:t>Evaluation of relaxed requirements</w:t>
            </w:r>
          </w:p>
          <w:p w14:paraId="3EA12705" w14:textId="77777777" w:rsidR="00037BE4" w:rsidRDefault="00037BE4" w:rsidP="00037BE4">
            <w:pPr>
              <w:rPr>
                <w:b/>
              </w:rPr>
            </w:pPr>
            <w:r>
              <w:rPr>
                <w:b/>
              </w:rPr>
              <w:t>Way forward:</w:t>
            </w:r>
          </w:p>
          <w:p w14:paraId="4762B67E"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F03463">
              <w:rPr>
                <w:rFonts w:ascii="Times New Roman" w:eastAsiaTheme="minorEastAsia" w:hAnsi="Times New Roman"/>
                <w:sz w:val="20"/>
                <w:lang w:eastAsia="zh-CN"/>
              </w:rPr>
              <w:t xml:space="preserve">[No relaxation of ACLR/SEM/SE outside of the BS CBW for one operator holding spectrum for scenario 2, i.e. </w:t>
            </w:r>
            <w:r w:rsidRPr="00F03463">
              <w:rPr>
                <w:rFonts w:ascii="Times New Roman" w:hAnsi="Times New Roman"/>
                <w:sz w:val="20"/>
              </w:rPr>
              <w:t>Narrower UE channel BW within wider BS bandwidth]</w:t>
            </w:r>
          </w:p>
          <w:p w14:paraId="30FFEB26"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F03463">
              <w:rPr>
                <w:rFonts w:ascii="Times New Roman" w:eastAsiaTheme="minorEastAsia" w:hAnsi="Times New Roman"/>
                <w:sz w:val="20"/>
                <w:lang w:eastAsia="zh-CN"/>
              </w:rPr>
              <w:t>FFS whether outer, edge or inner RB allocation is prioritized for further evaluation</w:t>
            </w:r>
          </w:p>
          <w:p w14:paraId="64ECCF71" w14:textId="77777777" w:rsidR="00037BE4" w:rsidRPr="00F03463" w:rsidRDefault="00037BE4" w:rsidP="00037BE4">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F03463">
              <w:rPr>
                <w:rFonts w:ascii="Times New Roman" w:hAnsi="Times New Roman"/>
                <w:sz w:val="20"/>
                <w:lang w:eastAsia="zh-CN"/>
              </w:rPr>
              <w:t>FFS impact on MPR by relaxing ACLR w/ or w/o relaxing SEM/Spurious Emissions</w:t>
            </w:r>
          </w:p>
          <w:p w14:paraId="7E044887" w14:textId="3BF5D8C7" w:rsidR="0067071C" w:rsidRPr="00F03463" w:rsidRDefault="00037BE4" w:rsidP="00F03463">
            <w:pPr>
              <w:pStyle w:val="aff6"/>
              <w:widowControl/>
              <w:numPr>
                <w:ilvl w:val="0"/>
                <w:numId w:val="38"/>
              </w:numPr>
              <w:overflowPunct w:val="0"/>
              <w:autoSpaceDE w:val="0"/>
              <w:autoSpaceDN w:val="0"/>
              <w:adjustRightInd w:val="0"/>
              <w:spacing w:after="180"/>
              <w:ind w:firstLineChars="0"/>
              <w:jc w:val="left"/>
              <w:textAlignment w:val="baseline"/>
              <w:rPr>
                <w:lang w:eastAsia="zh-CN"/>
              </w:rPr>
            </w:pPr>
            <w:r w:rsidRPr="00F03463">
              <w:rPr>
                <w:rFonts w:ascii="Times New Roman" w:eastAsiaTheme="minorEastAsia" w:hAnsi="Times New Roman"/>
                <w:sz w:val="20"/>
                <w:lang w:eastAsia="zh-CN"/>
              </w:rPr>
              <w:t>FFS whether IBE is considered instead of the relaxed ACLR/SEM/SE for the region between UE CBW and BS CBW.</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lastRenderedPageBreak/>
        <w:t>Discussion</w:t>
      </w:r>
    </w:p>
    <w:p w14:paraId="3729B1C1" w14:textId="7D3FD85A" w:rsidR="00C25A3E" w:rsidRDefault="00F87D69" w:rsidP="001530C2">
      <w:pPr>
        <w:jc w:val="both"/>
      </w:pPr>
      <w:r>
        <w:t xml:space="preserve">In Rel-18, transparent schemes </w:t>
      </w:r>
      <w:r w:rsidR="002C042C">
        <w:t xml:space="preserve">have been extensively studied and the outcomes are </w:t>
      </w:r>
      <w:r w:rsidR="00C25A3E">
        <w:t xml:space="preserve">power boosting on top of advertised power class can be delivered </w:t>
      </w:r>
      <w:r w:rsidR="00041EA3">
        <w:t>only</w:t>
      </w:r>
      <w:r w:rsidR="002C042C">
        <w:t xml:space="preserve"> for inner RB region</w:t>
      </w:r>
      <w:r w:rsidR="008145FF">
        <w:t xml:space="preserve"> </w:t>
      </w:r>
      <w:r w:rsidR="00C25A3E">
        <w:t>subject to</w:t>
      </w:r>
      <w:r w:rsidR="008145FF">
        <w:t xml:space="preserve"> BPSK/QPSK </w:t>
      </w:r>
      <w:r w:rsidR="00C25A3E">
        <w:t>modulation order and</w:t>
      </w:r>
      <w:r w:rsidR="008145FF">
        <w:t xml:space="preserve"> DFT-s-OFDM waveform.</w:t>
      </w:r>
      <w:r w:rsidR="00043B24">
        <w:t xml:space="preserve"> </w:t>
      </w:r>
    </w:p>
    <w:p w14:paraId="762055AD" w14:textId="3E9D65E2" w:rsidR="001530C2" w:rsidRDefault="00041EA3" w:rsidP="008575B1">
      <w:pPr>
        <w:jc w:val="both"/>
      </w:pPr>
      <w:r>
        <w:rPr>
          <w:b/>
          <w:i/>
        </w:rPr>
        <w:t>Observation 1: For what have been extensively studied for transparent schemes in Rel-18, power boosting on top of advertised power class can be delivered only for inner RB region subject to BPSK/QPSK modulation order and DFT-s-O</w:t>
      </w:r>
      <w:r w:rsidR="006051CA">
        <w:rPr>
          <w:b/>
          <w:i/>
        </w:rPr>
        <w:t xml:space="preserve">FDM waveform, but cannot be achieved for other cases.  </w:t>
      </w:r>
      <w:r>
        <w:rPr>
          <w:b/>
          <w:i/>
        </w:rPr>
        <w:t xml:space="preserve"> </w:t>
      </w:r>
    </w:p>
    <w:p w14:paraId="6F2EEB1C" w14:textId="2D572331" w:rsidR="00F448B4" w:rsidRDefault="006051CA" w:rsidP="006051CA">
      <w:pPr>
        <w:jc w:val="both"/>
        <w:rPr>
          <w:rFonts w:eastAsiaTheme="minorEastAsia"/>
        </w:rPr>
      </w:pPr>
      <w:r>
        <w:t>Different from Rel-18, requirement relaxation has been proposed as another approach in order to reduce single CC MPR for the cases which cannot be covered by Rel-18. During last meeting discussion</w:t>
      </w:r>
      <w:r w:rsidR="007E2F7B">
        <w:t>, companies show their concern on</w:t>
      </w:r>
      <w:r w:rsidR="00862930">
        <w:t xml:space="preserve"> how to handle adjacent operators’ interference suppression demands which can be guaranteed by legacy OOB requirements. As a result, RAN4 prioritised the aforementioned Scenario 1-1 and 2 along with the common understanding on no relaxation of </w:t>
      </w:r>
      <w:r w:rsidR="00862930" w:rsidRPr="00F03463">
        <w:rPr>
          <w:rFonts w:eastAsiaTheme="minorEastAsia"/>
        </w:rPr>
        <w:t>ACLR/SEM/SE outside of the BS CBW for one operator holding spectrum</w:t>
      </w:r>
      <w:r w:rsidR="00862930">
        <w:rPr>
          <w:rFonts w:eastAsiaTheme="minorEastAsia"/>
        </w:rPr>
        <w:t xml:space="preserve"> for S</w:t>
      </w:r>
      <w:r w:rsidR="00862930" w:rsidRPr="00F03463">
        <w:rPr>
          <w:rFonts w:eastAsiaTheme="minorEastAsia"/>
        </w:rPr>
        <w:t>cenario 2</w:t>
      </w:r>
      <w:r w:rsidR="00862930">
        <w:rPr>
          <w:rFonts w:eastAsiaTheme="minorEastAsia"/>
        </w:rPr>
        <w:t xml:space="preserve">. In view of this, we provide our </w:t>
      </w:r>
      <w:r w:rsidR="00FC5D8C">
        <w:rPr>
          <w:rFonts w:eastAsiaTheme="minorEastAsia"/>
        </w:rPr>
        <w:t>further analysis in the rest of this contribution</w:t>
      </w:r>
      <w:r w:rsidR="00862930">
        <w:rPr>
          <w:rFonts w:eastAsiaTheme="minorEastAsia"/>
        </w:rPr>
        <w:t>.</w:t>
      </w:r>
    </w:p>
    <w:p w14:paraId="39B1DA43" w14:textId="35044F1C" w:rsidR="009A0930" w:rsidRDefault="009A0930" w:rsidP="008575B1">
      <w:pPr>
        <w:jc w:val="both"/>
        <w:rPr>
          <w:rFonts w:eastAsiaTheme="minorEastAsia"/>
        </w:rPr>
      </w:pPr>
      <w:r>
        <w:rPr>
          <w:rFonts w:eastAsiaTheme="minorEastAsia"/>
        </w:rPr>
        <w:t xml:space="preserve">Firstly, it would be beneficial </w:t>
      </w:r>
      <w:r w:rsidR="00B351D5">
        <w:rPr>
          <w:rFonts w:eastAsiaTheme="minorEastAsia"/>
        </w:rPr>
        <w:t xml:space="preserve">to identify </w:t>
      </w:r>
      <w:r w:rsidR="00C8659C">
        <w:rPr>
          <w:rFonts w:eastAsiaTheme="minorEastAsia"/>
        </w:rPr>
        <w:t>target RB region for MPR reduction. Following figure</w:t>
      </w:r>
      <w:r w:rsidR="005D19FD">
        <w:rPr>
          <w:rFonts w:eastAsiaTheme="minorEastAsia" w:hint="eastAsia"/>
        </w:rPr>
        <w:t>s</w:t>
      </w:r>
      <w:r w:rsidR="005D19FD">
        <w:rPr>
          <w:rFonts w:eastAsiaTheme="minorEastAsia"/>
        </w:rPr>
        <w:t xml:space="preserve"> come from our preliminary </w:t>
      </w:r>
      <w:r w:rsidR="00E55311">
        <w:rPr>
          <w:rFonts w:eastAsiaTheme="minorEastAsia"/>
        </w:rPr>
        <w:t>measurement</w:t>
      </w:r>
      <w:r w:rsidR="005D19FD">
        <w:rPr>
          <w:rFonts w:eastAsiaTheme="minorEastAsia"/>
        </w:rPr>
        <w:t xml:space="preserve"> results</w:t>
      </w:r>
      <w:r w:rsidR="006F5A7F">
        <w:rPr>
          <w:rFonts w:eastAsiaTheme="minorEastAsia"/>
        </w:rPr>
        <w:t xml:space="preserve"> for PC2</w:t>
      </w:r>
      <w:r w:rsidR="005D19FD">
        <w:rPr>
          <w:rFonts w:eastAsiaTheme="minorEastAsia"/>
        </w:rPr>
        <w:t xml:space="preserve">. </w:t>
      </w:r>
      <w:r w:rsidR="00C8659C">
        <w:rPr>
          <w:rFonts w:eastAsiaTheme="minorEastAsia"/>
        </w:rPr>
        <w:t xml:space="preserve"> </w:t>
      </w:r>
      <w:r>
        <w:rPr>
          <w:rFonts w:eastAsiaTheme="minorEastAsia"/>
        </w:rPr>
        <w:t xml:space="preserve"> </w:t>
      </w:r>
    </w:p>
    <w:p w14:paraId="69396159" w14:textId="19EF24A0" w:rsidR="008D1D83" w:rsidRDefault="006D026E" w:rsidP="00182537">
      <w:pPr>
        <w:jc w:val="center"/>
      </w:pPr>
      <w:r w:rsidRPr="006D026E">
        <w:rPr>
          <w:noProof/>
          <w:lang w:val="en-US"/>
        </w:rPr>
        <w:drawing>
          <wp:inline distT="0" distB="0" distL="0" distR="0" wp14:anchorId="28BADFE8" wp14:editId="5C2307D7">
            <wp:extent cx="2496915" cy="1872000"/>
            <wp:effectExtent l="0" t="0" r="0" b="0"/>
            <wp:docPr id="1" name="图片 1" descr="D:\2024\标准会议\111\图\CP 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4\标准会议\111\图\CP QPS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6915" cy="1872000"/>
                    </a:xfrm>
                    <a:prstGeom prst="rect">
                      <a:avLst/>
                    </a:prstGeom>
                    <a:noFill/>
                    <a:ln>
                      <a:noFill/>
                    </a:ln>
                  </pic:spPr>
                </pic:pic>
              </a:graphicData>
            </a:graphic>
          </wp:inline>
        </w:drawing>
      </w:r>
      <w:r w:rsidR="008D1D83">
        <w:rPr>
          <w:rFonts w:hint="eastAsia"/>
        </w:rPr>
        <w:t xml:space="preserve"> </w:t>
      </w:r>
      <w:r w:rsidR="008D1D83">
        <w:t xml:space="preserve"> </w:t>
      </w:r>
      <w:r w:rsidR="00E46BC9">
        <w:t xml:space="preserve"> </w:t>
      </w:r>
    </w:p>
    <w:p w14:paraId="7FBB5A70" w14:textId="3496C825" w:rsidR="005D19FD" w:rsidRPr="005D19FD" w:rsidRDefault="00CC3CDB" w:rsidP="005D19FD">
      <w:pPr>
        <w:jc w:val="center"/>
        <w:rPr>
          <w:b/>
        </w:rPr>
      </w:pPr>
      <w:r>
        <w:rPr>
          <w:b/>
        </w:rPr>
        <w:t xml:space="preserve">Figure 1. </w:t>
      </w:r>
      <w:r w:rsidR="00D56E2B">
        <w:rPr>
          <w:b/>
        </w:rPr>
        <w:t>M</w:t>
      </w:r>
      <w:r w:rsidR="006F5A7F">
        <w:rPr>
          <w:b/>
        </w:rPr>
        <w:t>easurement results</w:t>
      </w:r>
      <w:r w:rsidR="00D56E2B">
        <w:rPr>
          <w:b/>
        </w:rPr>
        <w:t xml:space="preserve"> to identify the</w:t>
      </w:r>
      <w:r w:rsidR="006F5A7F">
        <w:rPr>
          <w:b/>
        </w:rPr>
        <w:t xml:space="preserve"> bottleneck for </w:t>
      </w:r>
      <w:r w:rsidR="00FF0E38">
        <w:rPr>
          <w:b/>
        </w:rPr>
        <w:t>better</w:t>
      </w:r>
      <w:r w:rsidR="006F5A7F">
        <w:rPr>
          <w:b/>
        </w:rPr>
        <w:t xml:space="preserve"> MPR</w:t>
      </w:r>
      <w:r w:rsidR="00FF0E38">
        <w:rPr>
          <w:b/>
        </w:rPr>
        <w:t xml:space="preserve"> performance respective to different RB regions </w:t>
      </w:r>
      <w:r w:rsidR="00490BDA">
        <w:rPr>
          <w:b/>
        </w:rPr>
        <w:t>for CP OFDM QPSK</w:t>
      </w:r>
    </w:p>
    <w:p w14:paraId="7F082C9A" w14:textId="065CBC49" w:rsidR="00FF0E38" w:rsidRDefault="006F5A7F" w:rsidP="008575B1">
      <w:pPr>
        <w:jc w:val="both"/>
        <w:rPr>
          <w:rFonts w:eastAsiaTheme="minorEastAsia"/>
        </w:rPr>
      </w:pPr>
      <w:r>
        <w:rPr>
          <w:rFonts w:eastAsiaTheme="minorEastAsia"/>
        </w:rPr>
        <w:t xml:space="preserve">As shown in Figure 1, </w:t>
      </w:r>
      <w:r w:rsidR="00FF0E38">
        <w:rPr>
          <w:rFonts w:eastAsiaTheme="minorEastAsia"/>
        </w:rPr>
        <w:t>ACLR/SEM requirements play dominated factors for outer/edge RB region</w:t>
      </w:r>
      <w:r w:rsidR="00B95BD0">
        <w:rPr>
          <w:rFonts w:eastAsiaTheme="minorEastAsia"/>
        </w:rPr>
        <w:t xml:space="preserve"> MPR determination</w:t>
      </w:r>
      <w:r w:rsidR="00FF0E38">
        <w:rPr>
          <w:rFonts w:eastAsiaTheme="minorEastAsia"/>
        </w:rPr>
        <w:t>, while it is IBE requirement for inner region instead.</w:t>
      </w:r>
      <w:r w:rsidR="00490BDA">
        <w:rPr>
          <w:rFonts w:eastAsiaTheme="minorEastAsia"/>
        </w:rPr>
        <w:t xml:space="preserve"> </w:t>
      </w:r>
      <w:r w:rsidR="00B95BD0">
        <w:rPr>
          <w:rFonts w:eastAsiaTheme="minorEastAsia"/>
        </w:rPr>
        <w:t>We believe similar results from gating factor perspective can be expected for DFT-s-OFDM waveform</w:t>
      </w:r>
      <w:r w:rsidR="00490BDA" w:rsidRPr="00490BDA">
        <w:rPr>
          <w:rFonts w:eastAsiaTheme="minorEastAsia"/>
        </w:rPr>
        <w:t>.</w:t>
      </w:r>
      <w:r w:rsidR="00FF0E38">
        <w:rPr>
          <w:rFonts w:eastAsiaTheme="minorEastAsia"/>
        </w:rPr>
        <w:t xml:space="preserve"> </w:t>
      </w:r>
    </w:p>
    <w:p w14:paraId="041F302C" w14:textId="7AC95B58" w:rsidR="00824A6C" w:rsidRPr="0056547D" w:rsidRDefault="005D19FD" w:rsidP="008575B1">
      <w:pPr>
        <w:jc w:val="both"/>
      </w:pPr>
      <w:r>
        <w:rPr>
          <w:b/>
          <w:i/>
        </w:rPr>
        <w:t xml:space="preserve">Observation </w:t>
      </w:r>
      <w:r w:rsidR="006051CA">
        <w:rPr>
          <w:b/>
          <w:i/>
        </w:rPr>
        <w:t>2</w:t>
      </w:r>
      <w:r>
        <w:rPr>
          <w:b/>
          <w:i/>
        </w:rPr>
        <w:t xml:space="preserve">: </w:t>
      </w:r>
      <w:r w:rsidR="00A33AEB">
        <w:rPr>
          <w:b/>
          <w:i/>
        </w:rPr>
        <w:t>For QPSK, t</w:t>
      </w:r>
      <w:r>
        <w:rPr>
          <w:b/>
          <w:i/>
        </w:rPr>
        <w:t xml:space="preserve">he ACLR/SEM requirements are the bottleneck for </w:t>
      </w:r>
      <w:r w:rsidR="00FF0E38">
        <w:rPr>
          <w:b/>
          <w:i/>
        </w:rPr>
        <w:t>better</w:t>
      </w:r>
      <w:r w:rsidR="00C53553" w:rsidRPr="00C53553">
        <w:rPr>
          <w:b/>
          <w:i/>
        </w:rPr>
        <w:t xml:space="preserve"> MPR</w:t>
      </w:r>
      <w:r w:rsidR="00FF0E38">
        <w:rPr>
          <w:b/>
          <w:i/>
        </w:rPr>
        <w:t xml:space="preserve"> performance</w:t>
      </w:r>
      <w:r w:rsidR="00824A6C">
        <w:rPr>
          <w:b/>
          <w:i/>
        </w:rPr>
        <w:t xml:space="preserve"> in</w:t>
      </w:r>
      <w:r>
        <w:rPr>
          <w:b/>
          <w:i/>
        </w:rPr>
        <w:t xml:space="preserve"> </w:t>
      </w:r>
      <w:r w:rsidR="00326E64">
        <w:rPr>
          <w:b/>
          <w:i/>
        </w:rPr>
        <w:t>outer/edge RB region</w:t>
      </w:r>
      <w:r w:rsidR="00824A6C">
        <w:rPr>
          <w:b/>
          <w:i/>
        </w:rPr>
        <w:t xml:space="preserve">, while the bottleneck for inner RB region </w:t>
      </w:r>
      <w:r w:rsidR="00502343">
        <w:rPr>
          <w:b/>
          <w:i/>
        </w:rPr>
        <w:t xml:space="preserve">is IBE requirement </w:t>
      </w:r>
      <w:r w:rsidR="00824A6C">
        <w:rPr>
          <w:b/>
          <w:i/>
        </w:rPr>
        <w:t>instead.</w:t>
      </w:r>
      <w:r>
        <w:rPr>
          <w:b/>
          <w:i/>
        </w:rPr>
        <w:t xml:space="preserve">    </w:t>
      </w:r>
    </w:p>
    <w:p w14:paraId="1348FA29" w14:textId="3C8C8A78" w:rsidR="005D19FD" w:rsidRDefault="005D19FD" w:rsidP="008575B1">
      <w:pPr>
        <w:jc w:val="both"/>
        <w:rPr>
          <w:b/>
          <w:i/>
        </w:rPr>
      </w:pPr>
      <w:r>
        <w:rPr>
          <w:b/>
          <w:i/>
        </w:rPr>
        <w:t>Proposal 1: Only consider outer</w:t>
      </w:r>
      <w:r w:rsidR="0056547D">
        <w:rPr>
          <w:b/>
          <w:i/>
        </w:rPr>
        <w:t>/edge</w:t>
      </w:r>
      <w:r>
        <w:rPr>
          <w:b/>
          <w:i/>
        </w:rPr>
        <w:t xml:space="preserve"> region for</w:t>
      </w:r>
      <w:r w:rsidR="0056547D">
        <w:rPr>
          <w:b/>
          <w:i/>
        </w:rPr>
        <w:t xml:space="preserve"> ACLR/SEM relaxation based MPR reduction in Rel-19.</w:t>
      </w:r>
      <w:r>
        <w:rPr>
          <w:b/>
          <w:i/>
        </w:rPr>
        <w:t xml:space="preserve"> </w:t>
      </w:r>
    </w:p>
    <w:p w14:paraId="641C8106" w14:textId="4F8CF7B3" w:rsidR="00E635D1" w:rsidRDefault="00BD0D95" w:rsidP="008575B1">
      <w:pPr>
        <w:jc w:val="both"/>
      </w:pPr>
      <w:r>
        <w:rPr>
          <w:rFonts w:eastAsiaTheme="minorEastAsia"/>
        </w:rPr>
        <w:t xml:space="preserve">Besides, as captured in TR 36.803, a stricter </w:t>
      </w:r>
      <w:r w:rsidR="00E635D1">
        <w:rPr>
          <w:rFonts w:eastAsiaTheme="minorEastAsia"/>
        </w:rPr>
        <w:t xml:space="preserve">Category B </w:t>
      </w:r>
      <w:r>
        <w:rPr>
          <w:rFonts w:eastAsiaTheme="minorEastAsia"/>
        </w:rPr>
        <w:t>requirement</w:t>
      </w:r>
      <w:r w:rsidR="00E635D1">
        <w:rPr>
          <w:rFonts w:eastAsiaTheme="minorEastAsia"/>
        </w:rPr>
        <w:t xml:space="preserve">s were </w:t>
      </w:r>
      <w:r w:rsidR="00E635D1">
        <w:t>selected</w:t>
      </w:r>
      <w:r w:rsidR="00AC2B23">
        <w:t xml:space="preserve"> as spurious emissions limits</w:t>
      </w:r>
      <w:r w:rsidR="00E635D1">
        <w:t xml:space="preserve"> for the UE, to allow for global circulation of terminals.</w:t>
      </w:r>
    </w:p>
    <w:tbl>
      <w:tblPr>
        <w:tblStyle w:val="af8"/>
        <w:tblW w:w="0" w:type="auto"/>
        <w:tblLook w:val="04A0" w:firstRow="1" w:lastRow="0" w:firstColumn="1" w:lastColumn="0" w:noHBand="0" w:noVBand="1"/>
      </w:tblPr>
      <w:tblGrid>
        <w:gridCol w:w="9631"/>
      </w:tblGrid>
      <w:tr w:rsidR="00E635D1" w14:paraId="7C100DA7" w14:textId="77777777" w:rsidTr="00E635D1">
        <w:tc>
          <w:tcPr>
            <w:tcW w:w="9631" w:type="dxa"/>
          </w:tcPr>
          <w:p w14:paraId="6B7D8C20" w14:textId="77777777" w:rsidR="00E635D1" w:rsidRPr="001F73E1" w:rsidRDefault="00E635D1" w:rsidP="00E635D1">
            <w:pPr>
              <w:rPr>
                <w:b/>
                <w:sz w:val="22"/>
                <w:szCs w:val="24"/>
              </w:rPr>
            </w:pPr>
            <w:r w:rsidRPr="001F73E1">
              <w:rPr>
                <w:b/>
                <w:sz w:val="22"/>
                <w:szCs w:val="24"/>
              </w:rPr>
              <w:t xml:space="preserve">UTRA background </w:t>
            </w:r>
          </w:p>
          <w:p w14:paraId="4A759CE3" w14:textId="77777777" w:rsidR="00E635D1" w:rsidRPr="001F73E1" w:rsidRDefault="00E635D1" w:rsidP="00E635D1">
            <w:pPr>
              <w:rPr>
                <w:sz w:val="18"/>
              </w:rPr>
            </w:pPr>
            <w:r w:rsidRPr="001F73E1">
              <w:rPr>
                <w:sz w:val="18"/>
              </w:rPr>
              <w:t xml:space="preserve">The core requirements for spurious emissions are specified for the UE in TS 25.101 </w:t>
            </w:r>
            <w:r w:rsidRPr="001F73E1">
              <w:rPr>
                <w:sz w:val="18"/>
                <w:cs/>
              </w:rPr>
              <w:t>‎</w:t>
            </w:r>
            <w:r w:rsidRPr="001F73E1">
              <w:rPr>
                <w:sz w:val="18"/>
              </w:rPr>
              <w:t>[7] and TS25.102[21]. The corresponding test requirements are in TS 34.121 and TS 34.122.</w:t>
            </w:r>
          </w:p>
          <w:p w14:paraId="1D1094A5" w14:textId="77777777" w:rsidR="00E635D1" w:rsidRPr="001F73E1" w:rsidRDefault="00E635D1" w:rsidP="00E635D1">
            <w:pPr>
              <w:rPr>
                <w:sz w:val="18"/>
              </w:rPr>
            </w:pPr>
            <w:r w:rsidRPr="001F73E1">
              <w:rPr>
                <w:sz w:val="18"/>
              </w:rPr>
              <w:t>References for the spurious emissions requirements are summarised in Table 6.6.3-1 for the UE. The tables give references to RAN4 core specs, to where the term is defined and to some relevant regulatory references. These regulatory references have either defined the limit value in 3GPP or they have used it as a basis for studies or recommendations.</w:t>
            </w:r>
          </w:p>
          <w:p w14:paraId="2023522A" w14:textId="77777777" w:rsidR="00E635D1" w:rsidRPr="001F73E1" w:rsidRDefault="00E635D1" w:rsidP="00E635D1">
            <w:pPr>
              <w:pStyle w:val="TF"/>
              <w:rPr>
                <w:sz w:val="18"/>
              </w:rPr>
            </w:pPr>
            <w:bookmarkStart w:id="2" w:name="_Ref133817018"/>
            <w:r w:rsidRPr="001F73E1">
              <w:rPr>
                <w:sz w:val="18"/>
              </w:rPr>
              <w:t xml:space="preserve">Table </w:t>
            </w:r>
            <w:bookmarkEnd w:id="2"/>
            <w:r w:rsidRPr="001F73E1">
              <w:rPr>
                <w:sz w:val="18"/>
              </w:rPr>
              <w:t xml:space="preserve">6.6.3-1 </w:t>
            </w:r>
            <w:bookmarkStart w:id="3" w:name="OLE_LINK9"/>
            <w:bookmarkStart w:id="4" w:name="OLE_LINK10"/>
            <w:r w:rsidRPr="001F73E1">
              <w:rPr>
                <w:sz w:val="18"/>
              </w:rPr>
              <w:t xml:space="preserve">Summary of regulatory references for UE </w:t>
            </w:r>
            <w:bookmarkEnd w:id="3"/>
            <w:bookmarkEnd w:id="4"/>
            <w:r w:rsidRPr="001F73E1">
              <w:rPr>
                <w:sz w:val="18"/>
              </w:rPr>
              <w:t>spurious emissions limits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6"/>
              <w:gridCol w:w="1259"/>
              <w:gridCol w:w="1157"/>
              <w:gridCol w:w="4805"/>
            </w:tblGrid>
            <w:tr w:rsidR="00E635D1" w:rsidRPr="001F73E1" w14:paraId="4E857F2D" w14:textId="77777777" w:rsidTr="001A57F8">
              <w:trPr>
                <w:jc w:val="center"/>
              </w:trPr>
              <w:tc>
                <w:tcPr>
                  <w:tcW w:w="2286" w:type="dxa"/>
                  <w:shd w:val="clear" w:color="auto" w:fill="auto"/>
                </w:tcPr>
                <w:p w14:paraId="0613CF08" w14:textId="77777777" w:rsidR="00E635D1" w:rsidRPr="001F73E1" w:rsidRDefault="00E635D1" w:rsidP="00E635D1">
                  <w:pPr>
                    <w:pStyle w:val="af2"/>
                    <w:rPr>
                      <w:b/>
                      <w:bCs/>
                      <w:sz w:val="18"/>
                    </w:rPr>
                  </w:pPr>
                  <w:r w:rsidRPr="001F73E1">
                    <w:rPr>
                      <w:b/>
                      <w:bCs/>
                      <w:sz w:val="18"/>
                    </w:rPr>
                    <w:t>Spurious emissions requirement</w:t>
                  </w:r>
                </w:p>
              </w:tc>
              <w:tc>
                <w:tcPr>
                  <w:tcW w:w="1259" w:type="dxa"/>
                  <w:shd w:val="clear" w:color="auto" w:fill="auto"/>
                </w:tcPr>
                <w:p w14:paraId="40FA1B1B" w14:textId="77777777" w:rsidR="00E635D1" w:rsidRPr="001F73E1" w:rsidRDefault="00E635D1" w:rsidP="00E635D1">
                  <w:pPr>
                    <w:pStyle w:val="af2"/>
                    <w:jc w:val="center"/>
                    <w:rPr>
                      <w:sz w:val="16"/>
                      <w:szCs w:val="18"/>
                      <w:lang w:val="en-US"/>
                    </w:rPr>
                  </w:pPr>
                  <w:r w:rsidRPr="001F73E1">
                    <w:rPr>
                      <w:b/>
                      <w:bCs/>
                      <w:sz w:val="18"/>
                      <w:szCs w:val="22"/>
                      <w:lang w:val="en-US"/>
                    </w:rPr>
                    <w:t>RAN4</w:t>
                  </w:r>
                  <w:r w:rsidRPr="001F73E1">
                    <w:rPr>
                      <w:b/>
                      <w:bCs/>
                      <w:sz w:val="18"/>
                      <w:szCs w:val="22"/>
                      <w:lang w:val="en-US"/>
                    </w:rPr>
                    <w:br/>
                  </w:r>
                  <w:r w:rsidRPr="001F73E1">
                    <w:rPr>
                      <w:sz w:val="16"/>
                      <w:szCs w:val="18"/>
                      <w:lang w:val="en-US"/>
                    </w:rPr>
                    <w:t xml:space="preserve">TS 25.101 </w:t>
                  </w:r>
                  <w:r w:rsidRPr="001F73E1">
                    <w:rPr>
                      <w:sz w:val="16"/>
                      <w:szCs w:val="18"/>
                      <w:cs/>
                      <w:lang w:val="en-US"/>
                    </w:rPr>
                    <w:t>‎</w:t>
                  </w:r>
                  <w:r w:rsidRPr="001F73E1">
                    <w:rPr>
                      <w:sz w:val="16"/>
                      <w:szCs w:val="18"/>
                      <w:lang w:val="en-US"/>
                    </w:rPr>
                    <w:t>[7]</w:t>
                  </w:r>
                </w:p>
              </w:tc>
              <w:tc>
                <w:tcPr>
                  <w:tcW w:w="1157" w:type="dxa"/>
                  <w:shd w:val="clear" w:color="auto" w:fill="auto"/>
                </w:tcPr>
                <w:p w14:paraId="55EEB34C" w14:textId="77777777" w:rsidR="00E635D1" w:rsidRPr="001F73E1" w:rsidRDefault="00E635D1" w:rsidP="00E635D1">
                  <w:pPr>
                    <w:pStyle w:val="af2"/>
                    <w:jc w:val="center"/>
                    <w:rPr>
                      <w:b/>
                      <w:bCs/>
                      <w:sz w:val="18"/>
                      <w:lang w:val="en-US"/>
                    </w:rPr>
                  </w:pPr>
                  <w:r w:rsidRPr="001F73E1">
                    <w:rPr>
                      <w:b/>
                      <w:bCs/>
                      <w:sz w:val="18"/>
                      <w:lang w:val="en-US"/>
                    </w:rPr>
                    <w:t xml:space="preserve">Definition </w:t>
                  </w:r>
                </w:p>
              </w:tc>
              <w:tc>
                <w:tcPr>
                  <w:tcW w:w="4805" w:type="dxa"/>
                  <w:shd w:val="clear" w:color="auto" w:fill="auto"/>
                </w:tcPr>
                <w:p w14:paraId="4161584E" w14:textId="77777777" w:rsidR="00E635D1" w:rsidRPr="001F73E1" w:rsidRDefault="00E635D1" w:rsidP="00E635D1">
                  <w:pPr>
                    <w:pStyle w:val="af2"/>
                    <w:jc w:val="center"/>
                    <w:rPr>
                      <w:b/>
                      <w:bCs/>
                      <w:sz w:val="18"/>
                    </w:rPr>
                  </w:pPr>
                  <w:r w:rsidRPr="001F73E1">
                    <w:rPr>
                      <w:b/>
                      <w:bCs/>
                      <w:sz w:val="18"/>
                    </w:rPr>
                    <w:t>Some relevant regulatory references</w:t>
                  </w:r>
                </w:p>
              </w:tc>
            </w:tr>
            <w:tr w:rsidR="00E635D1" w:rsidRPr="001F73E1" w14:paraId="12A55F9D" w14:textId="77777777" w:rsidTr="001A57F8">
              <w:trPr>
                <w:jc w:val="center"/>
              </w:trPr>
              <w:tc>
                <w:tcPr>
                  <w:tcW w:w="2286" w:type="dxa"/>
                  <w:shd w:val="clear" w:color="auto" w:fill="auto"/>
                </w:tcPr>
                <w:p w14:paraId="726CCF31" w14:textId="77777777" w:rsidR="00E635D1" w:rsidRPr="001F73E1" w:rsidRDefault="00E635D1" w:rsidP="00E635D1">
                  <w:pPr>
                    <w:pStyle w:val="af2"/>
                    <w:rPr>
                      <w:sz w:val="18"/>
                    </w:rPr>
                  </w:pPr>
                  <w:r w:rsidRPr="001F73E1">
                    <w:rPr>
                      <w:sz w:val="18"/>
                    </w:rPr>
                    <w:lastRenderedPageBreak/>
                    <w:t>General</w:t>
                  </w:r>
                </w:p>
              </w:tc>
              <w:tc>
                <w:tcPr>
                  <w:tcW w:w="1259" w:type="dxa"/>
                  <w:shd w:val="clear" w:color="auto" w:fill="auto"/>
                </w:tcPr>
                <w:p w14:paraId="53556F94" w14:textId="77777777" w:rsidR="00E635D1" w:rsidRPr="001F73E1" w:rsidRDefault="00E635D1" w:rsidP="00E635D1">
                  <w:pPr>
                    <w:pStyle w:val="af2"/>
                    <w:rPr>
                      <w:sz w:val="18"/>
                    </w:rPr>
                  </w:pPr>
                  <w:r w:rsidRPr="001F73E1">
                    <w:rPr>
                      <w:sz w:val="18"/>
                    </w:rPr>
                    <w:t>6.6.3.1 Table 6.12</w:t>
                  </w:r>
                </w:p>
              </w:tc>
              <w:tc>
                <w:tcPr>
                  <w:tcW w:w="1157" w:type="dxa"/>
                  <w:shd w:val="clear" w:color="auto" w:fill="auto"/>
                </w:tcPr>
                <w:p w14:paraId="0FA66672" w14:textId="77777777" w:rsidR="00E635D1" w:rsidRPr="001F73E1" w:rsidRDefault="00E635D1" w:rsidP="00E635D1">
                  <w:pPr>
                    <w:pStyle w:val="af2"/>
                    <w:rPr>
                      <w:sz w:val="18"/>
                    </w:rPr>
                  </w:pPr>
                  <w:r w:rsidRPr="001F73E1">
                    <w:rPr>
                      <w:sz w:val="18"/>
                    </w:rPr>
                    <w:t>ITU-R</w:t>
                  </w:r>
                  <w:r w:rsidRPr="001F73E1">
                    <w:rPr>
                      <w:sz w:val="18"/>
                    </w:rPr>
                    <w:br/>
                    <w:t xml:space="preserve">SM.329 </w:t>
                  </w:r>
                  <w:r w:rsidRPr="001F73E1">
                    <w:rPr>
                      <w:sz w:val="18"/>
                      <w:cs/>
                    </w:rPr>
                    <w:t>‎</w:t>
                  </w:r>
                  <w:r w:rsidRPr="001F73E1">
                    <w:rPr>
                      <w:sz w:val="18"/>
                    </w:rPr>
                    <w:t>[10]</w:t>
                  </w:r>
                </w:p>
              </w:tc>
              <w:tc>
                <w:tcPr>
                  <w:tcW w:w="4805" w:type="dxa"/>
                  <w:shd w:val="clear" w:color="auto" w:fill="auto"/>
                </w:tcPr>
                <w:p w14:paraId="7DB4E98B" w14:textId="77777777" w:rsidR="00E635D1" w:rsidRPr="001F73E1" w:rsidRDefault="00E635D1" w:rsidP="00E635D1">
                  <w:pPr>
                    <w:pStyle w:val="af2"/>
                    <w:rPr>
                      <w:sz w:val="18"/>
                    </w:rPr>
                  </w:pPr>
                  <w:r w:rsidRPr="001F73E1">
                    <w:rPr>
                      <w:sz w:val="18"/>
                    </w:rPr>
                    <w:t xml:space="preserve">ITU-R M.1581 (Annex 1.4) </w:t>
                  </w:r>
                  <w:r w:rsidRPr="001F73E1">
                    <w:rPr>
                      <w:sz w:val="18"/>
                      <w:cs/>
                    </w:rPr>
                    <w:t>‎</w:t>
                  </w:r>
                  <w:r w:rsidRPr="001F73E1">
                    <w:rPr>
                      <w:sz w:val="18"/>
                    </w:rPr>
                    <w:t>[8]: Band I limits included.</w:t>
                  </w:r>
                </w:p>
                <w:p w14:paraId="20707A4D" w14:textId="77777777" w:rsidR="00E635D1" w:rsidRPr="001F73E1" w:rsidRDefault="00E635D1" w:rsidP="00E635D1">
                  <w:pPr>
                    <w:pStyle w:val="af2"/>
                    <w:tabs>
                      <w:tab w:val="left" w:pos="1731"/>
                    </w:tabs>
                    <w:rPr>
                      <w:sz w:val="18"/>
                    </w:rPr>
                  </w:pPr>
                  <w:r w:rsidRPr="001F73E1">
                    <w:rPr>
                      <w:sz w:val="18"/>
                    </w:rPr>
                    <w:t xml:space="preserve">ITU-R SM.329 </w:t>
                  </w:r>
                  <w:r w:rsidRPr="001F73E1">
                    <w:rPr>
                      <w:sz w:val="18"/>
                      <w:cs/>
                    </w:rPr>
                    <w:t>‎</w:t>
                  </w:r>
                  <w:r w:rsidRPr="001F73E1">
                    <w:rPr>
                      <w:sz w:val="18"/>
                    </w:rPr>
                    <w:t xml:space="preserve">[10]: </w:t>
                  </w:r>
                  <w:r w:rsidRPr="001F73E1">
                    <w:rPr>
                      <w:sz w:val="18"/>
                    </w:rPr>
                    <w:tab/>
                    <w:t>1.4 Necessary bandwidth</w:t>
                  </w:r>
                  <w:r w:rsidRPr="001F73E1">
                    <w:rPr>
                      <w:sz w:val="18"/>
                    </w:rPr>
                    <w:br/>
                  </w:r>
                  <w:r w:rsidRPr="001F73E1">
                    <w:rPr>
                      <w:sz w:val="18"/>
                    </w:rPr>
                    <w:tab/>
                    <w:t>4.1 Reference bandwidths</w:t>
                  </w:r>
                  <w:r w:rsidRPr="001F73E1">
                    <w:rPr>
                      <w:sz w:val="18"/>
                    </w:rPr>
                    <w:br/>
                  </w:r>
                  <w:r w:rsidRPr="001F73E1">
                    <w:rPr>
                      <w:sz w:val="18"/>
                    </w:rPr>
                    <w:tab/>
                    <w:t>4.3 Category B limits</w:t>
                  </w:r>
                </w:p>
                <w:p w14:paraId="161098BE" w14:textId="77777777" w:rsidR="00E635D1" w:rsidRPr="001F73E1" w:rsidRDefault="00E635D1" w:rsidP="00E635D1">
                  <w:pPr>
                    <w:pStyle w:val="af2"/>
                    <w:tabs>
                      <w:tab w:val="left" w:pos="1731"/>
                    </w:tabs>
                    <w:rPr>
                      <w:sz w:val="18"/>
                    </w:rPr>
                  </w:pPr>
                  <w:r w:rsidRPr="001F73E1">
                    <w:rPr>
                      <w:sz w:val="18"/>
                    </w:rPr>
                    <w:t xml:space="preserve">ITU-R M.2039 </w:t>
                  </w:r>
                  <w:r w:rsidRPr="001F73E1">
                    <w:rPr>
                      <w:sz w:val="18"/>
                      <w:cs/>
                    </w:rPr>
                    <w:t>‎</w:t>
                  </w:r>
                  <w:r w:rsidRPr="001F73E1">
                    <w:rPr>
                      <w:sz w:val="18"/>
                    </w:rPr>
                    <w:t xml:space="preserve">[16]: Limits included by reference. </w:t>
                  </w:r>
                </w:p>
                <w:p w14:paraId="15C0706A" w14:textId="77777777" w:rsidR="00E635D1" w:rsidRPr="001F73E1" w:rsidRDefault="00E635D1" w:rsidP="00E635D1">
                  <w:pPr>
                    <w:pStyle w:val="af2"/>
                    <w:tabs>
                      <w:tab w:val="left" w:pos="1731"/>
                    </w:tabs>
                    <w:rPr>
                      <w:sz w:val="18"/>
                    </w:rPr>
                  </w:pPr>
                  <w:r w:rsidRPr="001F73E1">
                    <w:rPr>
                      <w:sz w:val="18"/>
                    </w:rPr>
                    <w:t xml:space="preserve">ETSI EN 301 908-2 </w:t>
                  </w:r>
                  <w:r w:rsidRPr="001F73E1">
                    <w:rPr>
                      <w:sz w:val="18"/>
                      <w:cs/>
                    </w:rPr>
                    <w:t>‎</w:t>
                  </w:r>
                  <w:r w:rsidRPr="001F73E1">
                    <w:rPr>
                      <w:sz w:val="18"/>
                    </w:rPr>
                    <w:t>[17]: Limits included.</w:t>
                  </w:r>
                </w:p>
              </w:tc>
            </w:tr>
            <w:tr w:rsidR="00E635D1" w:rsidRPr="001F73E1" w14:paraId="0CF5DA5B" w14:textId="77777777" w:rsidTr="001A57F8">
              <w:trPr>
                <w:jc w:val="center"/>
              </w:trPr>
              <w:tc>
                <w:tcPr>
                  <w:tcW w:w="2286" w:type="dxa"/>
                  <w:shd w:val="clear" w:color="auto" w:fill="auto"/>
                </w:tcPr>
                <w:p w14:paraId="6D51B9FD" w14:textId="77777777" w:rsidR="00E635D1" w:rsidRPr="001F73E1" w:rsidRDefault="00E635D1" w:rsidP="00E635D1">
                  <w:pPr>
                    <w:pStyle w:val="af2"/>
                    <w:rPr>
                      <w:sz w:val="18"/>
                    </w:rPr>
                  </w:pPr>
                  <w:r w:rsidRPr="001F73E1">
                    <w:rPr>
                      <w:sz w:val="18"/>
                    </w:rPr>
                    <w:t>Co-existence with other bands</w:t>
                  </w:r>
                </w:p>
              </w:tc>
              <w:tc>
                <w:tcPr>
                  <w:tcW w:w="1259" w:type="dxa"/>
                  <w:shd w:val="clear" w:color="auto" w:fill="auto"/>
                </w:tcPr>
                <w:p w14:paraId="73590256" w14:textId="77777777" w:rsidR="00E635D1" w:rsidRPr="001F73E1" w:rsidRDefault="00E635D1" w:rsidP="00E635D1">
                  <w:pPr>
                    <w:pStyle w:val="af2"/>
                    <w:rPr>
                      <w:sz w:val="18"/>
                    </w:rPr>
                  </w:pPr>
                  <w:r w:rsidRPr="001F73E1">
                    <w:rPr>
                      <w:sz w:val="18"/>
                    </w:rPr>
                    <w:t>6.6.3.1 Table 6.13</w:t>
                  </w:r>
                </w:p>
              </w:tc>
              <w:tc>
                <w:tcPr>
                  <w:tcW w:w="1157" w:type="dxa"/>
                  <w:shd w:val="clear" w:color="auto" w:fill="auto"/>
                </w:tcPr>
                <w:p w14:paraId="38BB9EF2" w14:textId="77777777" w:rsidR="00E635D1" w:rsidRPr="001F73E1" w:rsidRDefault="00E635D1" w:rsidP="00E635D1">
                  <w:pPr>
                    <w:pStyle w:val="af2"/>
                    <w:rPr>
                      <w:sz w:val="18"/>
                    </w:rPr>
                  </w:pPr>
                  <w:r w:rsidRPr="001F73E1">
                    <w:rPr>
                      <w:sz w:val="18"/>
                    </w:rPr>
                    <w:t xml:space="preserve">Developed and defined in 3GPP </w:t>
                  </w:r>
                  <w:r w:rsidRPr="001F73E1">
                    <w:rPr>
                      <w:sz w:val="18"/>
                      <w:cs/>
                    </w:rPr>
                    <w:t>‎</w:t>
                  </w:r>
                  <w:r w:rsidRPr="001F73E1">
                    <w:rPr>
                      <w:sz w:val="18"/>
                    </w:rPr>
                    <w:t>[7]</w:t>
                  </w:r>
                </w:p>
              </w:tc>
              <w:tc>
                <w:tcPr>
                  <w:tcW w:w="4805" w:type="dxa"/>
                  <w:shd w:val="clear" w:color="auto" w:fill="auto"/>
                </w:tcPr>
                <w:p w14:paraId="10CD6D94" w14:textId="77777777" w:rsidR="00E635D1" w:rsidRPr="001F73E1" w:rsidRDefault="00E635D1" w:rsidP="00E635D1">
                  <w:pPr>
                    <w:pStyle w:val="af2"/>
                    <w:tabs>
                      <w:tab w:val="left" w:pos="1731"/>
                    </w:tabs>
                    <w:rPr>
                      <w:sz w:val="18"/>
                    </w:rPr>
                  </w:pPr>
                  <w:r w:rsidRPr="001F73E1">
                    <w:rPr>
                      <w:sz w:val="18"/>
                    </w:rPr>
                    <w:t xml:space="preserve">ITU-R. M.1581 (Annex 1.4) </w:t>
                  </w:r>
                  <w:r w:rsidRPr="001F73E1">
                    <w:rPr>
                      <w:sz w:val="18"/>
                      <w:cs/>
                    </w:rPr>
                    <w:t>‎</w:t>
                  </w:r>
                  <w:r w:rsidRPr="001F73E1">
                    <w:rPr>
                      <w:sz w:val="18"/>
                    </w:rPr>
                    <w:t xml:space="preserve">[8]: Band I limits included. </w:t>
                  </w:r>
                </w:p>
                <w:p w14:paraId="33F17B11" w14:textId="77777777" w:rsidR="00E635D1" w:rsidRPr="001F73E1" w:rsidRDefault="00E635D1" w:rsidP="00E635D1">
                  <w:pPr>
                    <w:pStyle w:val="af2"/>
                    <w:rPr>
                      <w:sz w:val="18"/>
                    </w:rPr>
                  </w:pPr>
                  <w:r w:rsidRPr="001F73E1">
                    <w:rPr>
                      <w:sz w:val="18"/>
                    </w:rPr>
                    <w:t xml:space="preserve">ITU-R M.2039 </w:t>
                  </w:r>
                  <w:r w:rsidRPr="001F73E1">
                    <w:rPr>
                      <w:sz w:val="18"/>
                      <w:cs/>
                    </w:rPr>
                    <w:t>‎</w:t>
                  </w:r>
                  <w:r w:rsidRPr="001F73E1">
                    <w:rPr>
                      <w:sz w:val="18"/>
                    </w:rPr>
                    <w:t>[16]: Limits included by reference.</w:t>
                  </w:r>
                </w:p>
                <w:p w14:paraId="520B0CC6" w14:textId="77777777" w:rsidR="00E635D1" w:rsidRPr="001F73E1" w:rsidRDefault="00E635D1" w:rsidP="00E635D1">
                  <w:pPr>
                    <w:pStyle w:val="af2"/>
                    <w:rPr>
                      <w:sz w:val="18"/>
                    </w:rPr>
                  </w:pPr>
                  <w:r w:rsidRPr="001F73E1">
                    <w:rPr>
                      <w:sz w:val="18"/>
                    </w:rPr>
                    <w:t xml:space="preserve">ETSI EN 301 908-2 </w:t>
                  </w:r>
                  <w:r w:rsidRPr="001F73E1">
                    <w:rPr>
                      <w:sz w:val="18"/>
                      <w:cs/>
                    </w:rPr>
                    <w:t>‎</w:t>
                  </w:r>
                  <w:r w:rsidRPr="001F73E1">
                    <w:rPr>
                      <w:sz w:val="18"/>
                    </w:rPr>
                    <w:t xml:space="preserve">[17]: Limits to protect GSM900 and GSM1800 are included. </w:t>
                  </w:r>
                </w:p>
              </w:tc>
            </w:tr>
          </w:tbl>
          <w:p w14:paraId="4EC6810A" w14:textId="77777777" w:rsidR="00E635D1" w:rsidRPr="001F73E1" w:rsidRDefault="00E635D1" w:rsidP="00E635D1">
            <w:pPr>
              <w:rPr>
                <w:sz w:val="18"/>
              </w:rPr>
            </w:pPr>
          </w:p>
          <w:p w14:paraId="30514E60" w14:textId="77777777" w:rsidR="00E635D1" w:rsidRPr="001F73E1" w:rsidRDefault="00E635D1" w:rsidP="00E635D1">
            <w:pPr>
              <w:rPr>
                <w:sz w:val="18"/>
              </w:rPr>
            </w:pPr>
            <w:r w:rsidRPr="001F73E1">
              <w:rPr>
                <w:sz w:val="18"/>
                <w:highlight w:val="yellow"/>
              </w:rPr>
              <w:t xml:space="preserve">The general spurious emissions requirements and the corresponding reference bandwidths are taken from ITU-R recommendation SM.329 </w:t>
            </w:r>
            <w:r w:rsidRPr="001F73E1">
              <w:rPr>
                <w:sz w:val="18"/>
                <w:highlight w:val="yellow"/>
                <w:cs/>
              </w:rPr>
              <w:t>‎</w:t>
            </w:r>
            <w:r w:rsidRPr="001F73E1">
              <w:rPr>
                <w:sz w:val="18"/>
                <w:highlight w:val="yellow"/>
              </w:rPr>
              <w:t>[10] for both the UE and the BS. The stricter Category B requirements were selected for the UE, to allow for global circulation of terminals.</w:t>
            </w:r>
          </w:p>
          <w:p w14:paraId="3A388860" w14:textId="77777777" w:rsidR="00E635D1" w:rsidRPr="001F73E1" w:rsidRDefault="00E635D1" w:rsidP="00E635D1">
            <w:pPr>
              <w:rPr>
                <w:sz w:val="18"/>
              </w:rPr>
            </w:pPr>
            <w:r w:rsidRPr="001F73E1">
              <w:rPr>
                <w:sz w:val="18"/>
              </w:rPr>
              <w:t xml:space="preserve">The requirements are only applicable for frequencies, which are separated more than 250% of the necessary bandwidth from the carrier, as recommended in ITU-R SM.329 </w:t>
            </w:r>
            <w:r w:rsidRPr="001F73E1">
              <w:rPr>
                <w:sz w:val="18"/>
                <w:cs/>
              </w:rPr>
              <w:t>‎</w:t>
            </w:r>
            <w:r w:rsidRPr="001F73E1">
              <w:rPr>
                <w:sz w:val="18"/>
              </w:rPr>
              <w:t>[10].</w:t>
            </w:r>
          </w:p>
          <w:p w14:paraId="25D49A00" w14:textId="77777777" w:rsidR="00E635D1" w:rsidRPr="001F73E1" w:rsidRDefault="00E635D1" w:rsidP="00E635D1">
            <w:pPr>
              <w:rPr>
                <w:sz w:val="18"/>
              </w:rPr>
            </w:pPr>
            <w:r w:rsidRPr="001F73E1">
              <w:rPr>
                <w:sz w:val="18"/>
              </w:rPr>
              <w:t xml:space="preserve">The spurious emissions requirements are included in ITU-R recommendations M.1581 </w:t>
            </w:r>
            <w:r w:rsidRPr="001F73E1">
              <w:rPr>
                <w:sz w:val="18"/>
                <w:cs/>
              </w:rPr>
              <w:t>‎</w:t>
            </w:r>
            <w:r w:rsidRPr="001F73E1">
              <w:rPr>
                <w:sz w:val="18"/>
              </w:rPr>
              <w:t xml:space="preserve">[8] on IMT-2000 unwanted emissions. They are also included in ETSI harmonised standards </w:t>
            </w:r>
            <w:r w:rsidRPr="001F73E1">
              <w:rPr>
                <w:sz w:val="18"/>
                <w:cs/>
              </w:rPr>
              <w:t>‎</w:t>
            </w:r>
            <w:r w:rsidRPr="001F73E1">
              <w:rPr>
                <w:sz w:val="18"/>
              </w:rPr>
              <w:t xml:space="preserve">[17] and referenced from ITU-R report M.2039 </w:t>
            </w:r>
            <w:r w:rsidRPr="001F73E1">
              <w:rPr>
                <w:sz w:val="18"/>
                <w:cs/>
              </w:rPr>
              <w:t>‎</w:t>
            </w:r>
            <w:r w:rsidRPr="001F73E1">
              <w:rPr>
                <w:sz w:val="18"/>
              </w:rPr>
              <w:t>[16] that defines parameters to be used in co-existence studies for all IMT-2000 systems.</w:t>
            </w:r>
          </w:p>
          <w:p w14:paraId="6824C4A5" w14:textId="77777777" w:rsidR="00E635D1" w:rsidRPr="001F73E1" w:rsidRDefault="00E635D1" w:rsidP="00E635D1">
            <w:pPr>
              <w:rPr>
                <w:sz w:val="18"/>
              </w:rPr>
            </w:pPr>
            <w:r w:rsidRPr="001F73E1">
              <w:rPr>
                <w:sz w:val="18"/>
              </w:rPr>
              <w:t xml:space="preserve">The RAN4 specifications define specific UE spurious emission limits for co-existence with a number of systems, including UTRA and GSM in the same and different bands, PHS, TDD and other services in adjacent bands. These are defined in terms of additional spurious emission requirements. Some of the co-existence requirements are referenced or included by external bodies such as ITU-R </w:t>
            </w:r>
            <w:r w:rsidRPr="001F73E1">
              <w:rPr>
                <w:sz w:val="18"/>
                <w:cs/>
              </w:rPr>
              <w:t>‎</w:t>
            </w:r>
            <w:r w:rsidRPr="001F73E1">
              <w:rPr>
                <w:sz w:val="18"/>
              </w:rPr>
              <w:t xml:space="preserve">[8] </w:t>
            </w:r>
            <w:r w:rsidRPr="001F73E1">
              <w:rPr>
                <w:sz w:val="18"/>
                <w:cs/>
              </w:rPr>
              <w:t>‎</w:t>
            </w:r>
            <w:r w:rsidRPr="001F73E1">
              <w:rPr>
                <w:sz w:val="18"/>
              </w:rPr>
              <w:t xml:space="preserve">[16] and ETSI </w:t>
            </w:r>
            <w:r w:rsidRPr="001F73E1">
              <w:rPr>
                <w:sz w:val="18"/>
                <w:cs/>
              </w:rPr>
              <w:t>‎</w:t>
            </w:r>
            <w:r w:rsidRPr="001F73E1">
              <w:rPr>
                <w:sz w:val="18"/>
              </w:rPr>
              <w:t xml:space="preserve">[17] as shown in Table 6.6.3-1 </w:t>
            </w:r>
          </w:p>
          <w:p w14:paraId="6598D531" w14:textId="77777777" w:rsidR="00E635D1" w:rsidRPr="001F73E1" w:rsidRDefault="00E635D1" w:rsidP="00E635D1">
            <w:pPr>
              <w:rPr>
                <w:b/>
                <w:sz w:val="22"/>
                <w:szCs w:val="24"/>
              </w:rPr>
            </w:pPr>
            <w:r w:rsidRPr="001F73E1">
              <w:rPr>
                <w:b/>
                <w:sz w:val="22"/>
                <w:szCs w:val="24"/>
              </w:rPr>
              <w:t xml:space="preserve">E-UTRA background </w:t>
            </w:r>
          </w:p>
          <w:p w14:paraId="33379E2E" w14:textId="77777777" w:rsidR="00E635D1" w:rsidRPr="001F73E1" w:rsidRDefault="00E635D1" w:rsidP="00E635D1">
            <w:pPr>
              <w:rPr>
                <w:rFonts w:cs="v5.0.0"/>
                <w:sz w:val="18"/>
              </w:rPr>
            </w:pPr>
            <w:r w:rsidRPr="001F73E1">
              <w:rPr>
                <w:rFonts w:cs="v5.0.0"/>
                <w:sz w:val="18"/>
                <w:highlight w:val="yellow"/>
              </w:rPr>
              <w:t xml:space="preserve">In the same way as was described for UTRA, general spurious emission requirements based on ITU-R SM.329 [10] will be needed. Spurious emission limits as defined in </w:t>
            </w:r>
            <w:r w:rsidRPr="001F73E1">
              <w:rPr>
                <w:rFonts w:cs="v5.0.0"/>
                <w:sz w:val="18"/>
                <w:highlight w:val="yellow"/>
                <w:cs/>
              </w:rPr>
              <w:t>‎</w:t>
            </w:r>
            <w:r w:rsidRPr="001F73E1">
              <w:rPr>
                <w:rFonts w:cs="v5.0.0"/>
                <w:sz w:val="18"/>
                <w:highlight w:val="yellow"/>
              </w:rPr>
              <w:t>[10] are divided into several Categories, where Category A and B are taken into 3GPP requirements. Since UEs are intended for global circulation, there cannot be any regional requirement and the stricter Category B limits will apply</w:t>
            </w:r>
            <w:r w:rsidRPr="001F73E1">
              <w:rPr>
                <w:rFonts w:cs="v5.0.0"/>
                <w:sz w:val="18"/>
              </w:rPr>
              <w:t xml:space="preserve">. </w:t>
            </w:r>
          </w:p>
          <w:p w14:paraId="1AD86E66" w14:textId="77CEAE62" w:rsidR="00E635D1" w:rsidRPr="00E635D1" w:rsidRDefault="00E635D1" w:rsidP="00E635D1">
            <w:pPr>
              <w:rPr>
                <w:rFonts w:cs="v5.0.0"/>
              </w:rPr>
            </w:pPr>
            <w:r w:rsidRPr="001F73E1">
              <w:rPr>
                <w:rFonts w:cs="v5.0.0"/>
                <w:sz w:val="18"/>
              </w:rPr>
              <w:t>The requirements will apply for frequencies that are separated from the carrier frequency F</w:t>
            </w:r>
            <w:r w:rsidRPr="001F73E1">
              <w:rPr>
                <w:rFonts w:cs="v5.0.0"/>
                <w:sz w:val="18"/>
                <w:vertAlign w:val="subscript"/>
              </w:rPr>
              <w:t>c</w:t>
            </w:r>
            <w:r w:rsidRPr="001F73E1">
              <w:rPr>
                <w:rFonts w:cs="v5.0.0"/>
                <w:sz w:val="18"/>
              </w:rPr>
              <w:t xml:space="preserve"> by more than 250% of the necessary bandwidth of E-UTRA. Frequencies that are closer to F</w:t>
            </w:r>
            <w:r w:rsidRPr="001F73E1">
              <w:rPr>
                <w:rFonts w:cs="v5.0.0"/>
                <w:sz w:val="18"/>
                <w:vertAlign w:val="subscript"/>
              </w:rPr>
              <w:t>c</w:t>
            </w:r>
            <w:r w:rsidRPr="001F73E1">
              <w:rPr>
                <w:rFonts w:cs="v5.0.0"/>
                <w:sz w:val="18"/>
              </w:rPr>
              <w:t xml:space="preserve"> than 250% of the necessary bandwidth are part of the Out-of-band domain, where the out-of-band limits apply as described in Clause 6.6.2. The necessary bandwidth is taken to be equal to the RF bandwidth of the E-UTRA carrier. This approach is however FFS</w:t>
            </w:r>
          </w:p>
        </w:tc>
      </w:tr>
    </w:tbl>
    <w:p w14:paraId="3417BAF7" w14:textId="0F40E624" w:rsidR="00BD0D95" w:rsidRDefault="00E635D1" w:rsidP="008575B1">
      <w:pPr>
        <w:jc w:val="both"/>
        <w:rPr>
          <w:rFonts w:eastAsiaTheme="minorEastAsia"/>
        </w:rPr>
      </w:pPr>
      <w:r>
        <w:rPr>
          <w:rFonts w:eastAsiaTheme="minorEastAsia"/>
        </w:rPr>
        <w:lastRenderedPageBreak/>
        <w:t xml:space="preserve">For the time being, we prefer to retain the SE requirements unless RAN4 thinks it is worthy to consider any sacrifice on </w:t>
      </w:r>
      <w:r w:rsidR="00D6340D">
        <w:rPr>
          <w:rFonts w:eastAsiaTheme="minorEastAsia"/>
        </w:rPr>
        <w:t xml:space="preserve">the </w:t>
      </w:r>
      <w:r>
        <w:rPr>
          <w:rFonts w:eastAsiaTheme="minorEastAsia"/>
        </w:rPr>
        <w:t xml:space="preserve">aforementioned global circulation.   </w:t>
      </w:r>
      <w:r w:rsidR="00BD0D95">
        <w:rPr>
          <w:rFonts w:eastAsiaTheme="minorEastAsia"/>
        </w:rPr>
        <w:t xml:space="preserve"> </w:t>
      </w:r>
    </w:p>
    <w:p w14:paraId="651010F1" w14:textId="55CA6DA3" w:rsidR="00BD0D95" w:rsidRDefault="00BD0D95" w:rsidP="008575B1">
      <w:pPr>
        <w:jc w:val="both"/>
        <w:rPr>
          <w:rFonts w:eastAsiaTheme="minorEastAsia"/>
        </w:rPr>
      </w:pPr>
      <w:r>
        <w:rPr>
          <w:b/>
          <w:i/>
        </w:rPr>
        <w:t xml:space="preserve">Proposal 2: Do not consider relaxation on </w:t>
      </w:r>
      <w:r w:rsidR="006051CA">
        <w:rPr>
          <w:b/>
          <w:i/>
        </w:rPr>
        <w:t xml:space="preserve">spurious emission </w:t>
      </w:r>
      <w:r>
        <w:rPr>
          <w:b/>
          <w:i/>
        </w:rPr>
        <w:t>requirement in Rel-19.</w:t>
      </w:r>
    </w:p>
    <w:p w14:paraId="5D50C77B" w14:textId="74AB5532" w:rsidR="004262C8" w:rsidRDefault="006D5C81" w:rsidP="008575B1">
      <w:pPr>
        <w:jc w:val="both"/>
      </w:pPr>
      <w:r>
        <w:rPr>
          <w:rFonts w:eastAsiaTheme="minorEastAsia"/>
        </w:rPr>
        <w:t xml:space="preserve">Secondly, resolution respective to </w:t>
      </w:r>
      <w:r w:rsidR="004262C8">
        <w:rPr>
          <w:rFonts w:eastAsiaTheme="minorEastAsia"/>
        </w:rPr>
        <w:t>following</w:t>
      </w:r>
      <w:r>
        <w:rPr>
          <w:rFonts w:eastAsiaTheme="minorEastAsia"/>
        </w:rPr>
        <w:t xml:space="preserve"> s</w:t>
      </w:r>
      <w:r w:rsidR="004262C8">
        <w:rPr>
          <w:rFonts w:eastAsiaTheme="minorEastAsia"/>
        </w:rPr>
        <w:t>cenarios can be discussed separately.</w:t>
      </w:r>
    </w:p>
    <w:p w14:paraId="5B408A21" w14:textId="600047CA" w:rsidR="00FC5D8C" w:rsidRDefault="00FC5D8C" w:rsidP="00FC5D8C">
      <w:pPr>
        <w:pStyle w:val="2"/>
        <w:numPr>
          <w:ilvl w:val="0"/>
          <w:numId w:val="0"/>
        </w:numPr>
        <w:spacing w:after="240"/>
        <w:jc w:val="both"/>
        <w:rPr>
          <w:b/>
          <w:sz w:val="22"/>
          <w:u w:val="single"/>
        </w:rPr>
      </w:pPr>
      <w:r w:rsidRPr="00BF393C">
        <w:rPr>
          <w:rFonts w:eastAsia="宋体"/>
          <w:b/>
          <w:sz w:val="22"/>
          <w:szCs w:val="24"/>
          <w:u w:val="single"/>
          <w:lang w:eastAsia="zh-CN"/>
        </w:rPr>
        <w:t xml:space="preserve">Scenario A: </w:t>
      </w:r>
      <w:r w:rsidR="00BF393C" w:rsidRPr="00BF393C">
        <w:rPr>
          <w:rFonts w:eastAsia="宋体"/>
          <w:b/>
          <w:sz w:val="22"/>
          <w:szCs w:val="24"/>
          <w:u w:val="single"/>
          <w:lang w:eastAsia="zh-CN"/>
        </w:rPr>
        <w:t>N</w:t>
      </w:r>
      <w:r w:rsidRPr="00BF393C">
        <w:rPr>
          <w:rFonts w:eastAsia="宋体"/>
          <w:b/>
          <w:sz w:val="22"/>
          <w:szCs w:val="24"/>
          <w:u w:val="single"/>
          <w:lang w:eastAsia="zh-CN"/>
        </w:rPr>
        <w:t xml:space="preserve">o </w:t>
      </w:r>
      <w:r w:rsidRPr="00BF393C">
        <w:rPr>
          <w:b/>
          <w:sz w:val="22"/>
          <w:u w:val="single"/>
        </w:rPr>
        <w:t>adjacent in-band/out-of-band co-existence issue (single operator)</w:t>
      </w:r>
    </w:p>
    <w:p w14:paraId="1BAAEE2E" w14:textId="0B3F82BB" w:rsidR="00164C66" w:rsidRDefault="00164C66" w:rsidP="00164C66">
      <w:pPr>
        <w:jc w:val="both"/>
      </w:pPr>
      <w:r>
        <w:t>For this scenario, as mentioned in [2], one example is the NR band n34</w:t>
      </w:r>
      <w:r w:rsidR="005A0333">
        <w:t>/n41</w:t>
      </w:r>
      <w:r>
        <w:t xml:space="preserve"> in China which is allocated to CMCC only</w:t>
      </w:r>
      <w:r>
        <w:rPr>
          <w:rFonts w:hint="eastAsia"/>
        </w:rPr>
        <w:t>.</w:t>
      </w:r>
      <w:r>
        <w:t xml:space="preserve"> There may not be any concern about adjacent channel emission because in addition to existing implementation aiming for interference mitigation including BS filter design, guard band and spatial isolation, coordination based on measurement for single operator is always feasible</w:t>
      </w:r>
      <w:r w:rsidR="005A0333">
        <w:t>.</w:t>
      </w:r>
      <w:r>
        <w:t xml:space="preserve"> Another example is the band n28 deployment in China which is co-construct</w:t>
      </w:r>
      <w:r w:rsidR="00032BFA">
        <w:t>ion</w:t>
      </w:r>
      <w:r>
        <w:t xml:space="preserve"> and sharing </w:t>
      </w:r>
      <w:r w:rsidR="00251A01">
        <w:t>by</w:t>
      </w:r>
      <w:r>
        <w:t xml:space="preserve"> CMCC and CBN.</w:t>
      </w:r>
      <w:r w:rsidR="00EB3005" w:rsidRPr="00EB3005">
        <w:t xml:space="preserve"> </w:t>
      </w:r>
      <w:r w:rsidR="005A0333">
        <w:t>Identical situation happens for</w:t>
      </w:r>
      <w:r w:rsidR="00EB3005" w:rsidRPr="00EB3005">
        <w:t xml:space="preserve"> band n78</w:t>
      </w:r>
      <w:r w:rsidR="005A0333">
        <w:t xml:space="preserve"> deployment in China, which</w:t>
      </w:r>
      <w:r w:rsidR="00EB3005">
        <w:t xml:space="preserve"> </w:t>
      </w:r>
      <w:r w:rsidR="00EB3005" w:rsidRPr="00EB3005">
        <w:t>is C</w:t>
      </w:r>
      <w:r w:rsidR="00EB3005">
        <w:t xml:space="preserve">hina Unicom </w:t>
      </w:r>
      <w:r w:rsidR="00EB3005" w:rsidRPr="00EB3005">
        <w:t xml:space="preserve">and China Telecom </w:t>
      </w:r>
      <w:r w:rsidR="005A0333">
        <w:t xml:space="preserve">to </w:t>
      </w:r>
      <w:r w:rsidR="00EB3005" w:rsidRPr="00EB3005">
        <w:t xml:space="preserve">pool their resources for </w:t>
      </w:r>
      <w:r w:rsidR="005A0333">
        <w:t>construction and sharing</w:t>
      </w:r>
      <w:r w:rsidR="00EB3005" w:rsidRPr="00EB3005">
        <w:t>.</w:t>
      </w:r>
      <w:r>
        <w:t xml:space="preserve"> Similarly, coordination can be expected at least for in-band.  </w:t>
      </w:r>
    </w:p>
    <w:p w14:paraId="4AF4A511" w14:textId="1245A7AD" w:rsidR="00032BFA" w:rsidRDefault="00730CC1" w:rsidP="00164C66">
      <w:pPr>
        <w:jc w:val="both"/>
        <w:rPr>
          <w:b/>
          <w:i/>
        </w:rPr>
      </w:pPr>
      <w:r>
        <w:rPr>
          <w:b/>
          <w:i/>
        </w:rPr>
        <w:t>Observation 3</w:t>
      </w:r>
      <w:r w:rsidR="00032BFA">
        <w:rPr>
          <w:b/>
          <w:i/>
        </w:rPr>
        <w:t xml:space="preserve">: </w:t>
      </w:r>
      <w:r w:rsidR="00011BDE">
        <w:rPr>
          <w:b/>
          <w:i/>
        </w:rPr>
        <w:t xml:space="preserve">With existing implementation aiming for interference mitigation </w:t>
      </w:r>
      <w:r w:rsidR="00011BDE" w:rsidRPr="00011BDE">
        <w:rPr>
          <w:b/>
          <w:i/>
        </w:rPr>
        <w:t>including BS filter de</w:t>
      </w:r>
      <w:r w:rsidR="00011BDE">
        <w:rPr>
          <w:b/>
          <w:i/>
        </w:rPr>
        <w:t xml:space="preserve">sign, guard band, </w:t>
      </w:r>
      <w:r w:rsidR="00011BDE" w:rsidRPr="00011BDE">
        <w:rPr>
          <w:b/>
          <w:i/>
        </w:rPr>
        <w:t>spatial isolation</w:t>
      </w:r>
      <w:r w:rsidR="00011BDE">
        <w:rPr>
          <w:b/>
          <w:i/>
        </w:rPr>
        <w:t xml:space="preserve"> and coordination based on measurements, </w:t>
      </w:r>
      <w:r w:rsidR="00A85CE7">
        <w:rPr>
          <w:b/>
          <w:i/>
        </w:rPr>
        <w:t>there could be</w:t>
      </w:r>
      <w:r w:rsidR="00C60256" w:rsidRPr="0013747B">
        <w:t xml:space="preserve"> </w:t>
      </w:r>
      <w:r w:rsidR="00C60256">
        <w:rPr>
          <w:b/>
          <w:i/>
        </w:rPr>
        <w:t>no</w:t>
      </w:r>
      <w:r w:rsidR="00A85CE7">
        <w:rPr>
          <w:b/>
          <w:i/>
        </w:rPr>
        <w:t xml:space="preserve"> concern on</w:t>
      </w:r>
      <w:r w:rsidR="00C60256" w:rsidRPr="0013747B">
        <w:rPr>
          <w:b/>
          <w:i/>
        </w:rPr>
        <w:t xml:space="preserve"> adjacent in-band/out-</w:t>
      </w:r>
      <w:r w:rsidR="00A85CE7">
        <w:rPr>
          <w:b/>
          <w:i/>
        </w:rPr>
        <w:t>of-band co-existence</w:t>
      </w:r>
      <w:r w:rsidR="00011BDE">
        <w:rPr>
          <w:b/>
          <w:i/>
        </w:rPr>
        <w:t>. Examples are:</w:t>
      </w:r>
    </w:p>
    <w:p w14:paraId="15984B09" w14:textId="77777777" w:rsidR="00011BDE" w:rsidRDefault="00011BDE" w:rsidP="00011BDE">
      <w:pPr>
        <w:pStyle w:val="aff6"/>
        <w:numPr>
          <w:ilvl w:val="0"/>
          <w:numId w:val="42"/>
        </w:numPr>
        <w:ind w:firstLineChars="0"/>
        <w:rPr>
          <w:rFonts w:ascii="Times New Roman" w:hAnsi="Times New Roman"/>
          <w:b/>
          <w:i/>
          <w:kern w:val="0"/>
          <w:sz w:val="20"/>
          <w:szCs w:val="20"/>
          <w:lang w:val="en-GB" w:eastAsia="zh-CN"/>
        </w:rPr>
      </w:pPr>
      <w:r w:rsidRPr="00CC684B">
        <w:rPr>
          <w:rFonts w:ascii="Times New Roman" w:hAnsi="Times New Roman"/>
          <w:b/>
          <w:i/>
          <w:kern w:val="0"/>
          <w:sz w:val="20"/>
          <w:szCs w:val="20"/>
          <w:lang w:val="en-GB" w:eastAsia="zh-CN"/>
        </w:rPr>
        <w:lastRenderedPageBreak/>
        <w:t>NR band n28 in China is co-constructi</w:t>
      </w:r>
      <w:r>
        <w:rPr>
          <w:rFonts w:ascii="Times New Roman" w:hAnsi="Times New Roman"/>
          <w:b/>
          <w:i/>
          <w:kern w:val="0"/>
          <w:sz w:val="20"/>
          <w:szCs w:val="20"/>
          <w:lang w:val="en-GB" w:eastAsia="zh-CN"/>
        </w:rPr>
        <w:t>on</w:t>
      </w:r>
      <w:r w:rsidRPr="00CC684B">
        <w:rPr>
          <w:rFonts w:ascii="Times New Roman" w:hAnsi="Times New Roman"/>
          <w:b/>
          <w:i/>
          <w:kern w:val="0"/>
          <w:sz w:val="20"/>
          <w:szCs w:val="20"/>
          <w:lang w:val="en-GB" w:eastAsia="zh-CN"/>
        </w:rPr>
        <w:t xml:space="preserve"> and sharing by CMCC and CBN</w:t>
      </w:r>
    </w:p>
    <w:p w14:paraId="69ABFB4D" w14:textId="7E21D8A2" w:rsidR="00EB3005" w:rsidRPr="005A0333" w:rsidRDefault="00EB3005" w:rsidP="00EB3005">
      <w:pPr>
        <w:pStyle w:val="aff6"/>
        <w:numPr>
          <w:ilvl w:val="0"/>
          <w:numId w:val="4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NR band n78</w:t>
      </w:r>
      <w:r w:rsidRPr="00CC684B">
        <w:rPr>
          <w:rFonts w:ascii="Times New Roman" w:hAnsi="Times New Roman"/>
          <w:b/>
          <w:i/>
          <w:kern w:val="0"/>
          <w:sz w:val="20"/>
          <w:szCs w:val="20"/>
          <w:lang w:val="en-GB" w:eastAsia="zh-CN"/>
        </w:rPr>
        <w:t xml:space="preserve"> in China is co-constructi</w:t>
      </w:r>
      <w:r>
        <w:rPr>
          <w:rFonts w:ascii="Times New Roman" w:hAnsi="Times New Roman"/>
          <w:b/>
          <w:i/>
          <w:kern w:val="0"/>
          <w:sz w:val="20"/>
          <w:szCs w:val="20"/>
          <w:lang w:val="en-GB" w:eastAsia="zh-CN"/>
        </w:rPr>
        <w:t>on</w:t>
      </w:r>
      <w:r w:rsidRPr="00CC684B">
        <w:rPr>
          <w:rFonts w:ascii="Times New Roman" w:hAnsi="Times New Roman"/>
          <w:b/>
          <w:i/>
          <w:kern w:val="0"/>
          <w:sz w:val="20"/>
          <w:szCs w:val="20"/>
          <w:lang w:val="en-GB" w:eastAsia="zh-CN"/>
        </w:rPr>
        <w:t xml:space="preserve"> and sharing by </w:t>
      </w:r>
      <w:r w:rsidRPr="00EB3005">
        <w:rPr>
          <w:rFonts w:ascii="Times New Roman" w:hAnsi="Times New Roman"/>
          <w:b/>
          <w:i/>
          <w:kern w:val="0"/>
          <w:sz w:val="20"/>
          <w:szCs w:val="20"/>
          <w:lang w:val="en-GB" w:eastAsia="zh-CN"/>
        </w:rPr>
        <w:t>China Unicom and China Telecom</w:t>
      </w:r>
    </w:p>
    <w:p w14:paraId="0E835125" w14:textId="2EAFEBCD" w:rsidR="00011BDE" w:rsidRPr="00CC684B" w:rsidRDefault="00011BDE" w:rsidP="00011BDE">
      <w:pPr>
        <w:pStyle w:val="aff6"/>
        <w:numPr>
          <w:ilvl w:val="0"/>
          <w:numId w:val="42"/>
        </w:numPr>
        <w:ind w:firstLineChars="0"/>
        <w:rPr>
          <w:rFonts w:ascii="Times New Roman" w:hAnsi="Times New Roman"/>
          <w:b/>
          <w:i/>
          <w:kern w:val="0"/>
          <w:sz w:val="20"/>
          <w:szCs w:val="20"/>
          <w:lang w:val="en-GB" w:eastAsia="zh-CN"/>
        </w:rPr>
      </w:pPr>
      <w:r w:rsidRPr="00CC684B">
        <w:rPr>
          <w:rFonts w:ascii="Times New Roman" w:hAnsi="Times New Roman"/>
          <w:b/>
          <w:i/>
          <w:kern w:val="0"/>
          <w:sz w:val="20"/>
          <w:szCs w:val="20"/>
          <w:lang w:val="en-GB" w:eastAsia="zh-CN"/>
        </w:rPr>
        <w:t>NR band n34</w:t>
      </w:r>
      <w:r w:rsidR="00EB3005">
        <w:rPr>
          <w:rFonts w:ascii="Times New Roman" w:hAnsi="Times New Roman"/>
          <w:b/>
          <w:i/>
          <w:kern w:val="0"/>
          <w:sz w:val="20"/>
          <w:szCs w:val="20"/>
          <w:lang w:val="en-GB" w:eastAsia="zh-CN"/>
        </w:rPr>
        <w:t xml:space="preserve"> and n41</w:t>
      </w:r>
      <w:r w:rsidRPr="00CC684B">
        <w:rPr>
          <w:rFonts w:ascii="Times New Roman" w:hAnsi="Times New Roman"/>
          <w:b/>
          <w:i/>
          <w:kern w:val="0"/>
          <w:sz w:val="20"/>
          <w:szCs w:val="20"/>
          <w:lang w:val="en-GB" w:eastAsia="zh-CN"/>
        </w:rPr>
        <w:t xml:space="preserve"> in China </w:t>
      </w:r>
      <w:r w:rsidR="00EB3005">
        <w:rPr>
          <w:rFonts w:ascii="Times New Roman" w:hAnsi="Times New Roman"/>
          <w:b/>
          <w:i/>
          <w:kern w:val="0"/>
          <w:sz w:val="20"/>
          <w:szCs w:val="20"/>
          <w:lang w:val="en-GB" w:eastAsia="zh-CN"/>
        </w:rPr>
        <w:t>are</w:t>
      </w:r>
      <w:r w:rsidRPr="00CC684B">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exclusively </w:t>
      </w:r>
      <w:r w:rsidRPr="00CC684B">
        <w:rPr>
          <w:rFonts w:ascii="Times New Roman" w:hAnsi="Times New Roman"/>
          <w:b/>
          <w:i/>
          <w:kern w:val="0"/>
          <w:sz w:val="20"/>
          <w:szCs w:val="20"/>
          <w:lang w:val="en-GB" w:eastAsia="zh-CN"/>
        </w:rPr>
        <w:t>allocated to CMCC</w:t>
      </w:r>
    </w:p>
    <w:p w14:paraId="29EC9A17" w14:textId="4E68B183" w:rsidR="00987429" w:rsidRDefault="00A415EE" w:rsidP="00AD6C95">
      <w:pPr>
        <w:jc w:val="both"/>
      </w:pPr>
      <w:r>
        <w:t>Consequently, ACLR/</w:t>
      </w:r>
      <w:r w:rsidR="00164C66">
        <w:t xml:space="preserve">SEM relaxation can be considered for the following </w:t>
      </w:r>
      <w:r w:rsidR="00B406F1">
        <w:t>sub-</w:t>
      </w:r>
      <w:r w:rsidR="00F844A1">
        <w:t>cases:</w:t>
      </w:r>
    </w:p>
    <w:p w14:paraId="2350A264" w14:textId="540D693B" w:rsidR="00164C66" w:rsidRPr="00164C66" w:rsidRDefault="000D03EE" w:rsidP="00164C66">
      <w:pPr>
        <w:pStyle w:val="aff6"/>
        <w:numPr>
          <w:ilvl w:val="0"/>
          <w:numId w:val="42"/>
        </w:numPr>
        <w:ind w:firstLineChars="0"/>
        <w:rPr>
          <w:rFonts w:ascii="Times New Roman" w:hAnsi="Times New Roman"/>
          <w:kern w:val="0"/>
          <w:sz w:val="20"/>
          <w:szCs w:val="20"/>
          <w:lang w:val="en-GB" w:eastAsia="zh-CN"/>
        </w:rPr>
      </w:pPr>
      <w:r w:rsidRPr="000D03EE">
        <w:rPr>
          <w:rFonts w:ascii="Times New Roman" w:hAnsi="Times New Roman"/>
          <w:b/>
          <w:kern w:val="0"/>
          <w:sz w:val="20"/>
          <w:szCs w:val="20"/>
          <w:lang w:val="en-GB" w:eastAsia="zh-CN"/>
        </w:rPr>
        <w:t>Scenario A-1</w:t>
      </w:r>
      <w:r>
        <w:rPr>
          <w:rFonts w:ascii="Times New Roman" w:hAnsi="Times New Roman"/>
          <w:kern w:val="0"/>
          <w:sz w:val="20"/>
          <w:szCs w:val="20"/>
          <w:lang w:val="en-GB" w:eastAsia="zh-CN"/>
        </w:rPr>
        <w:t xml:space="preserve">: </w:t>
      </w:r>
      <w:r w:rsidR="00873C49">
        <w:rPr>
          <w:rFonts w:ascii="Times New Roman" w:hAnsi="Times New Roman"/>
          <w:kern w:val="0"/>
          <w:sz w:val="20"/>
          <w:szCs w:val="20"/>
          <w:lang w:val="en-GB" w:eastAsia="zh-CN"/>
        </w:rPr>
        <w:t>UE channel bandwidth equals to BS channel bandwidth</w:t>
      </w:r>
    </w:p>
    <w:p w14:paraId="33B2E656" w14:textId="13595F61" w:rsidR="00164C66" w:rsidRPr="00F844A1" w:rsidRDefault="000D03EE" w:rsidP="00F844A1">
      <w:pPr>
        <w:pStyle w:val="aff6"/>
        <w:numPr>
          <w:ilvl w:val="0"/>
          <w:numId w:val="42"/>
        </w:numPr>
        <w:ind w:firstLineChars="0"/>
        <w:rPr>
          <w:rFonts w:ascii="Times New Roman" w:hAnsi="Times New Roman"/>
          <w:kern w:val="0"/>
          <w:sz w:val="20"/>
          <w:szCs w:val="20"/>
          <w:lang w:val="en-GB" w:eastAsia="zh-CN"/>
        </w:rPr>
      </w:pPr>
      <w:r w:rsidRPr="000D03EE">
        <w:rPr>
          <w:rFonts w:ascii="Times New Roman" w:hAnsi="Times New Roman"/>
          <w:b/>
          <w:kern w:val="0"/>
          <w:sz w:val="20"/>
          <w:szCs w:val="20"/>
          <w:lang w:val="en-GB" w:eastAsia="zh-CN"/>
        </w:rPr>
        <w:t>Scenario A-2</w:t>
      </w:r>
      <w:r>
        <w:rPr>
          <w:rFonts w:ascii="Times New Roman" w:hAnsi="Times New Roman"/>
          <w:kern w:val="0"/>
          <w:sz w:val="20"/>
          <w:szCs w:val="20"/>
          <w:lang w:val="en-GB" w:eastAsia="zh-CN"/>
        </w:rPr>
        <w:t xml:space="preserve">: </w:t>
      </w:r>
      <w:r w:rsidR="00F844A1">
        <w:rPr>
          <w:rFonts w:ascii="Times New Roman" w:hAnsi="Times New Roman"/>
          <w:kern w:val="0"/>
          <w:sz w:val="20"/>
          <w:szCs w:val="20"/>
          <w:lang w:val="en-GB" w:eastAsia="zh-CN"/>
        </w:rPr>
        <w:t>UE channel bandwidth smaller than BS channel bandwidth</w:t>
      </w:r>
    </w:p>
    <w:p w14:paraId="33A12D08" w14:textId="660BA0E0" w:rsidR="00164C66" w:rsidRDefault="00987429" w:rsidP="00164C66">
      <w:pPr>
        <w:jc w:val="both"/>
      </w:pPr>
      <w:r>
        <w:t>Note that BS channel bandwidth mentioned here and also in the rest of this paper actually means BS RF bandwidth that includes not only single carrier but also multiple carriers or RATs.</w:t>
      </w:r>
    </w:p>
    <w:p w14:paraId="3AF63BCA" w14:textId="7FB4A13A" w:rsidR="00987429" w:rsidRDefault="00987429" w:rsidP="00987429">
      <w:pPr>
        <w:jc w:val="both"/>
      </w:pPr>
      <w:r>
        <w:rPr>
          <w:b/>
          <w:i/>
        </w:rPr>
        <w:t xml:space="preserve">Proposal 3: Clarify the BS channel bandwidth means BS RF bandwidth that covers single carrier, multi-carriers </w:t>
      </w:r>
      <w:r w:rsidR="00311B26">
        <w:rPr>
          <w:b/>
          <w:i/>
        </w:rPr>
        <w:t>and</w:t>
      </w:r>
      <w:r>
        <w:rPr>
          <w:b/>
          <w:i/>
        </w:rPr>
        <w:t xml:space="preserve"> multi-RATs</w:t>
      </w:r>
      <w:r w:rsidR="00311B26">
        <w:rPr>
          <w:b/>
          <w:i/>
        </w:rPr>
        <w:t xml:space="preserve"> scenarios</w:t>
      </w:r>
      <w:r>
        <w:rPr>
          <w:b/>
          <w:i/>
        </w:rPr>
        <w:t>.</w:t>
      </w:r>
    </w:p>
    <w:p w14:paraId="35B00460" w14:textId="7CDDF0B7" w:rsidR="00164C66" w:rsidRDefault="00831CF8" w:rsidP="00164C66">
      <w:pPr>
        <w:jc w:val="both"/>
      </w:pPr>
      <w:r>
        <w:t xml:space="preserve">For scenario A-1, </w:t>
      </w:r>
      <w:r w:rsidR="00A415EE">
        <w:t>it would be straight forward to consider relaxation on both ACLR and SEM. Initial measurement</w:t>
      </w:r>
      <w:r w:rsidR="002C252B">
        <w:t xml:space="preserve"> results</w:t>
      </w:r>
      <w:r w:rsidR="00A415EE">
        <w:t xml:space="preserve"> on PC2</w:t>
      </w:r>
      <w:r w:rsidR="005A0333">
        <w:t xml:space="preserve"> with QPSK CP-OFDM waveform</w:t>
      </w:r>
      <w:r w:rsidR="00A415EE">
        <w:t xml:space="preserve"> are provided as below</w:t>
      </w:r>
      <w:r w:rsidR="002C252B">
        <w:t>.</w:t>
      </w:r>
      <w:r w:rsidR="00A415EE">
        <w:t xml:space="preserve">  </w:t>
      </w:r>
    </w:p>
    <w:p w14:paraId="721829CE" w14:textId="27BCBFDF" w:rsidR="006D026E" w:rsidRDefault="00E46BC9" w:rsidP="002C252B">
      <w:pPr>
        <w:jc w:val="center"/>
      </w:pPr>
      <w:r w:rsidRPr="00E46BC9">
        <w:rPr>
          <w:noProof/>
          <w:lang w:val="en-US"/>
        </w:rPr>
        <w:drawing>
          <wp:inline distT="0" distB="0" distL="0" distR="0" wp14:anchorId="2F9B9EB6" wp14:editId="083C23D9">
            <wp:extent cx="2517480" cy="1872000"/>
            <wp:effectExtent l="0" t="0" r="0" b="0"/>
            <wp:docPr id="8" name="图片 8" descr="D:\2024\标准会议\111\图\g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2024\标准会议\111\图\gai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7480" cy="1872000"/>
                    </a:xfrm>
                    <a:prstGeom prst="rect">
                      <a:avLst/>
                    </a:prstGeom>
                    <a:noFill/>
                    <a:ln>
                      <a:noFill/>
                    </a:ln>
                  </pic:spPr>
                </pic:pic>
              </a:graphicData>
            </a:graphic>
          </wp:inline>
        </w:drawing>
      </w:r>
    </w:p>
    <w:p w14:paraId="77483CC9" w14:textId="353A2E5C" w:rsidR="002C252B" w:rsidRPr="00182537" w:rsidRDefault="006120B2" w:rsidP="002C252B">
      <w:pPr>
        <w:jc w:val="center"/>
        <w:rPr>
          <w:b/>
        </w:rPr>
      </w:pPr>
      <w:r>
        <w:rPr>
          <w:b/>
        </w:rPr>
        <w:t>Figure 2.</w:t>
      </w:r>
      <w:r w:rsidR="00182537">
        <w:rPr>
          <w:b/>
        </w:rPr>
        <w:t xml:space="preserve"> Measurement results to show</w:t>
      </w:r>
      <w:r>
        <w:rPr>
          <w:b/>
        </w:rPr>
        <w:t xml:space="preserve"> </w:t>
      </w:r>
      <w:r w:rsidR="005A0333" w:rsidRPr="00182537">
        <w:rPr>
          <w:b/>
        </w:rPr>
        <w:t>MPR reduction</w:t>
      </w:r>
      <w:r w:rsidR="00182537" w:rsidRPr="00182537">
        <w:rPr>
          <w:b/>
        </w:rPr>
        <w:t xml:space="preserve"> gain</w:t>
      </w:r>
      <w:r w:rsidR="005A0333" w:rsidRPr="00182537">
        <w:rPr>
          <w:b/>
        </w:rPr>
        <w:t xml:space="preserve"> </w:t>
      </w:r>
      <w:r w:rsidR="00182537" w:rsidRPr="00182537">
        <w:rPr>
          <w:b/>
        </w:rPr>
        <w:t>when</w:t>
      </w:r>
      <w:r w:rsidR="005A0333" w:rsidRPr="00182537">
        <w:rPr>
          <w:b/>
        </w:rPr>
        <w:t xml:space="preserve"> both </w:t>
      </w:r>
      <w:r w:rsidR="002C252B" w:rsidRPr="00182537">
        <w:rPr>
          <w:rFonts w:hint="eastAsia"/>
          <w:b/>
        </w:rPr>
        <w:t>A</w:t>
      </w:r>
      <w:r w:rsidR="002C252B" w:rsidRPr="00182537">
        <w:rPr>
          <w:b/>
        </w:rPr>
        <w:t>CLR and SEM are waived</w:t>
      </w:r>
    </w:p>
    <w:p w14:paraId="7A9D9A22" w14:textId="7362A829" w:rsidR="00164C66" w:rsidRDefault="002C252B" w:rsidP="002C252B">
      <w:pPr>
        <w:jc w:val="both"/>
        <w:rPr>
          <w:b/>
          <w:i/>
        </w:rPr>
      </w:pPr>
      <w:r>
        <w:rPr>
          <w:b/>
          <w:i/>
        </w:rPr>
        <w:t xml:space="preserve">Observation 4: </w:t>
      </w:r>
      <w:r w:rsidR="00DF5716">
        <w:rPr>
          <w:b/>
          <w:i/>
        </w:rPr>
        <w:t xml:space="preserve">For the case that </w:t>
      </w:r>
      <w:r w:rsidR="00DF5716" w:rsidRPr="00DF5716">
        <w:rPr>
          <w:b/>
          <w:i/>
        </w:rPr>
        <w:t>UE channel bandwidth equals to BS channel bandwidth</w:t>
      </w:r>
      <w:r w:rsidR="00DF5716">
        <w:rPr>
          <w:b/>
          <w:i/>
        </w:rPr>
        <w:t xml:space="preserve">, preliminary measurement results show that PC2 QPSK with DFT-s-OFDM waveform, about 1 dB </w:t>
      </w:r>
      <w:r w:rsidR="00A60751">
        <w:rPr>
          <w:b/>
          <w:i/>
        </w:rPr>
        <w:t xml:space="preserve">MPR reduction gain </w:t>
      </w:r>
      <w:r w:rsidR="00DF5716">
        <w:rPr>
          <w:b/>
          <w:i/>
        </w:rPr>
        <w:t>can be expected for outer region when both ACLR and SEM requirements are waived.</w:t>
      </w:r>
      <w:r w:rsidR="00A60751">
        <w:rPr>
          <w:b/>
          <w:i/>
        </w:rPr>
        <w:t xml:space="preserve">  </w:t>
      </w:r>
    </w:p>
    <w:p w14:paraId="54E68B07" w14:textId="2B59A106" w:rsidR="00C23084" w:rsidRDefault="00C23084" w:rsidP="00C23084">
      <w:pPr>
        <w:jc w:val="both"/>
        <w:rPr>
          <w:b/>
          <w:i/>
        </w:rPr>
      </w:pPr>
      <w:r>
        <w:rPr>
          <w:b/>
          <w:i/>
        </w:rPr>
        <w:t xml:space="preserve">Proposal </w:t>
      </w:r>
      <w:r w:rsidR="00317AD3">
        <w:rPr>
          <w:b/>
          <w:i/>
        </w:rPr>
        <w:t>4</w:t>
      </w:r>
      <w:r>
        <w:rPr>
          <w:b/>
          <w:i/>
        </w:rPr>
        <w:t>: Conclude that it is feasible to relax ACLR and/or SEM requirements for</w:t>
      </w:r>
      <w:r w:rsidRPr="0013747B">
        <w:t xml:space="preserve"> </w:t>
      </w:r>
      <w:r>
        <w:rPr>
          <w:b/>
          <w:i/>
        </w:rPr>
        <w:t>no</w:t>
      </w:r>
      <w:r w:rsidRPr="0013747B">
        <w:rPr>
          <w:b/>
          <w:i/>
        </w:rPr>
        <w:t xml:space="preserve"> adjacent in-band/out-of-band co-existence issue</w:t>
      </w:r>
      <w:r>
        <w:rPr>
          <w:b/>
          <w:i/>
        </w:rPr>
        <w:t xml:space="preserve"> scenario</w:t>
      </w:r>
      <w:r w:rsidR="00317AD3">
        <w:rPr>
          <w:b/>
          <w:i/>
        </w:rPr>
        <w:t xml:space="preserve"> when UE channel bandwidth equals to BS channel bandwidth</w:t>
      </w:r>
      <w:r>
        <w:rPr>
          <w:b/>
          <w:i/>
        </w:rPr>
        <w:t>.</w:t>
      </w:r>
    </w:p>
    <w:p w14:paraId="2B707784" w14:textId="77777777" w:rsidR="00C23084" w:rsidRPr="0013747B" w:rsidRDefault="00C23084" w:rsidP="00C23084">
      <w:pPr>
        <w:pStyle w:val="aff6"/>
        <w:numPr>
          <w:ilvl w:val="0"/>
          <w:numId w:val="42"/>
        </w:numPr>
        <w:ind w:firstLineChars="0"/>
        <w:rPr>
          <w:rFonts w:ascii="Times New Roman" w:hAnsi="Times New Roman"/>
          <w:b/>
          <w:i/>
          <w:kern w:val="0"/>
          <w:sz w:val="20"/>
          <w:szCs w:val="20"/>
          <w:lang w:val="en-GB" w:eastAsia="zh-CN"/>
        </w:rPr>
      </w:pPr>
      <w:r w:rsidRPr="0013747B">
        <w:rPr>
          <w:rFonts w:ascii="Times New Roman" w:hAnsi="Times New Roman"/>
          <w:b/>
          <w:i/>
          <w:kern w:val="0"/>
          <w:sz w:val="20"/>
          <w:szCs w:val="20"/>
          <w:lang w:val="en-GB" w:eastAsia="zh-CN"/>
        </w:rPr>
        <w:t xml:space="preserve">Further study on how </w:t>
      </w:r>
      <w:r>
        <w:rPr>
          <w:rFonts w:ascii="Times New Roman" w:hAnsi="Times New Roman"/>
          <w:b/>
          <w:i/>
          <w:kern w:val="0"/>
          <w:sz w:val="20"/>
          <w:szCs w:val="20"/>
          <w:lang w:val="en-GB" w:eastAsia="zh-CN"/>
        </w:rPr>
        <w:t xml:space="preserve">exactly </w:t>
      </w:r>
      <w:r w:rsidRPr="0013747B">
        <w:rPr>
          <w:rFonts w:ascii="Times New Roman" w:hAnsi="Times New Roman"/>
          <w:b/>
          <w:i/>
          <w:kern w:val="0"/>
          <w:sz w:val="20"/>
          <w:szCs w:val="20"/>
          <w:lang w:val="en-GB" w:eastAsia="zh-CN"/>
        </w:rPr>
        <w:t>ACLR and/or SEM requirements</w:t>
      </w:r>
      <w:r>
        <w:rPr>
          <w:rFonts w:ascii="Times New Roman" w:hAnsi="Times New Roman"/>
          <w:b/>
          <w:i/>
          <w:kern w:val="0"/>
          <w:sz w:val="20"/>
          <w:szCs w:val="20"/>
          <w:lang w:val="en-GB" w:eastAsia="zh-CN"/>
        </w:rPr>
        <w:t xml:space="preserve"> can be relaxed</w:t>
      </w:r>
      <w:r w:rsidRPr="0013747B">
        <w:rPr>
          <w:rFonts w:ascii="Times New Roman" w:hAnsi="Times New Roman"/>
          <w:b/>
          <w:i/>
          <w:kern w:val="0"/>
          <w:sz w:val="20"/>
          <w:szCs w:val="20"/>
          <w:lang w:val="en-GB" w:eastAsia="zh-CN"/>
        </w:rPr>
        <w:t xml:space="preserve">. </w:t>
      </w:r>
    </w:p>
    <w:p w14:paraId="4CFE5A99" w14:textId="77777777" w:rsidR="00C23084" w:rsidRDefault="00C23084" w:rsidP="002C252B">
      <w:pPr>
        <w:jc w:val="both"/>
      </w:pPr>
    </w:p>
    <w:p w14:paraId="3C8D568D" w14:textId="0C3809E8" w:rsidR="00C23084" w:rsidRDefault="002C252B" w:rsidP="002C252B">
      <w:pPr>
        <w:jc w:val="both"/>
      </w:pPr>
      <w:r>
        <w:t xml:space="preserve">For scenario A-2, it </w:t>
      </w:r>
      <w:r w:rsidR="00C23084">
        <w:t>needs</w:t>
      </w:r>
      <w:r>
        <w:t xml:space="preserve"> </w:t>
      </w:r>
      <w:r w:rsidR="00C23084">
        <w:t>more discussion</w:t>
      </w:r>
      <w:r>
        <w:t xml:space="preserve"> </w:t>
      </w:r>
      <w:r w:rsidR="00C23084">
        <w:t>because</w:t>
      </w:r>
      <w:r>
        <w:t xml:space="preserve"> how to relax</w:t>
      </w:r>
      <w:r w:rsidR="00C23084">
        <w:t xml:space="preserve"> requirements</w:t>
      </w:r>
      <w:r>
        <w:t xml:space="preserve"> </w:t>
      </w:r>
      <w:r w:rsidR="00C23084">
        <w:t>in</w:t>
      </w:r>
      <w:r>
        <w:t xml:space="preserve"> the gap between UE channel bandwidth and the edge of</w:t>
      </w:r>
      <w:r w:rsidR="00C23084">
        <w:t xml:space="preserve"> BS channel bandwidth could lead to different MPR </w:t>
      </w:r>
      <w:r w:rsidR="003961D6">
        <w:t>gain</w:t>
      </w:r>
      <w:r w:rsidR="00C23084">
        <w:t>. For instance, less relaxation could reduce the potential gain but if excessive relaxation is applied the equivalent noise of the RB resources in the gap will increase</w:t>
      </w:r>
      <w:r w:rsidR="003961D6">
        <w:t xml:space="preserve"> for sure, which could jeopardize UL </w:t>
      </w:r>
      <w:r w:rsidR="004B2482">
        <w:t>reception</w:t>
      </w:r>
      <w:r w:rsidR="003961D6">
        <w:t xml:space="preserve"> </w:t>
      </w:r>
      <w:r w:rsidR="005A0333">
        <w:t xml:space="preserve">considering </w:t>
      </w:r>
      <w:r w:rsidR="003961D6">
        <w:t xml:space="preserve">other UEs.   </w:t>
      </w:r>
      <w:r w:rsidR="00C23084">
        <w:t xml:space="preserve">    </w:t>
      </w:r>
    </w:p>
    <w:p w14:paraId="67D2D1DF" w14:textId="2D4D9854" w:rsidR="00317AD3" w:rsidRDefault="00317AD3" w:rsidP="00317AD3">
      <w:pPr>
        <w:jc w:val="both"/>
        <w:rPr>
          <w:b/>
          <w:i/>
        </w:rPr>
      </w:pPr>
      <w:r>
        <w:rPr>
          <w:b/>
          <w:i/>
        </w:rPr>
        <w:t xml:space="preserve">Proposal 5: </w:t>
      </w:r>
      <w:r w:rsidR="008A59A5">
        <w:rPr>
          <w:b/>
          <w:i/>
        </w:rPr>
        <w:t>Conclude that it is feasible to relax ACLR and/or SEM requirements for</w:t>
      </w:r>
      <w:r w:rsidR="008A59A5" w:rsidRPr="0013747B">
        <w:t xml:space="preserve"> </w:t>
      </w:r>
      <w:r w:rsidR="008A59A5">
        <w:rPr>
          <w:b/>
          <w:i/>
        </w:rPr>
        <w:t>no</w:t>
      </w:r>
      <w:r w:rsidR="008A59A5" w:rsidRPr="0013747B">
        <w:rPr>
          <w:b/>
          <w:i/>
        </w:rPr>
        <w:t xml:space="preserve"> adjacent in-band/out-of-band co-existence issue</w:t>
      </w:r>
      <w:r w:rsidR="008A59A5">
        <w:rPr>
          <w:b/>
          <w:i/>
        </w:rPr>
        <w:t xml:space="preserve"> scenario when UE channel bandwidth is smaller than BS channel bandwidth</w:t>
      </w:r>
      <w:r>
        <w:rPr>
          <w:b/>
          <w:i/>
        </w:rPr>
        <w:t>.</w:t>
      </w:r>
    </w:p>
    <w:p w14:paraId="319E4401" w14:textId="1E2DF1AA" w:rsidR="007B1663" w:rsidRPr="00051493" w:rsidRDefault="008A59A5" w:rsidP="00051493">
      <w:pPr>
        <w:pStyle w:val="aff6"/>
        <w:numPr>
          <w:ilvl w:val="0"/>
          <w:numId w:val="42"/>
        </w:numPr>
        <w:ind w:firstLineChars="0"/>
        <w:rPr>
          <w:rFonts w:ascii="Times New Roman" w:hAnsi="Times New Roman"/>
          <w:b/>
          <w:i/>
          <w:kern w:val="0"/>
          <w:sz w:val="20"/>
          <w:szCs w:val="20"/>
          <w:lang w:val="en-GB" w:eastAsia="zh-CN"/>
        </w:rPr>
      </w:pPr>
      <w:r w:rsidRPr="007B1663">
        <w:rPr>
          <w:rFonts w:ascii="Times New Roman" w:hAnsi="Times New Roman"/>
          <w:b/>
          <w:i/>
          <w:kern w:val="0"/>
          <w:sz w:val="20"/>
          <w:szCs w:val="20"/>
          <w:lang w:val="en-GB" w:eastAsia="zh-CN"/>
        </w:rPr>
        <w:t xml:space="preserve">Further study on how </w:t>
      </w:r>
      <w:r w:rsidR="007B1663">
        <w:rPr>
          <w:rFonts w:ascii="Times New Roman" w:hAnsi="Times New Roman"/>
          <w:b/>
          <w:i/>
          <w:kern w:val="0"/>
          <w:sz w:val="20"/>
          <w:szCs w:val="20"/>
          <w:lang w:val="en-GB" w:eastAsia="zh-CN"/>
        </w:rPr>
        <w:t xml:space="preserve">exactly </w:t>
      </w:r>
      <w:r w:rsidR="007B1663" w:rsidRPr="0013747B">
        <w:rPr>
          <w:rFonts w:ascii="Times New Roman" w:hAnsi="Times New Roman"/>
          <w:b/>
          <w:i/>
          <w:kern w:val="0"/>
          <w:sz w:val="20"/>
          <w:szCs w:val="20"/>
          <w:lang w:val="en-GB" w:eastAsia="zh-CN"/>
        </w:rPr>
        <w:t>ACLR and/or SEM requirements</w:t>
      </w:r>
      <w:r w:rsidR="007B1663">
        <w:rPr>
          <w:rFonts w:ascii="Times New Roman" w:hAnsi="Times New Roman"/>
          <w:b/>
          <w:i/>
          <w:kern w:val="0"/>
          <w:sz w:val="20"/>
          <w:szCs w:val="20"/>
          <w:lang w:val="en-GB" w:eastAsia="zh-CN"/>
        </w:rPr>
        <w:t xml:space="preserve"> can be relaxed comparing to IBE requirement within the gap between UE channel bandwidth and the edge of BS channel bandwidth.   </w:t>
      </w:r>
    </w:p>
    <w:p w14:paraId="3C270624" w14:textId="77777777" w:rsidR="00C23084" w:rsidRDefault="00C23084" w:rsidP="00111469">
      <w:pPr>
        <w:rPr>
          <w:lang w:val="x-none" w:eastAsia="en-US"/>
        </w:rPr>
      </w:pPr>
    </w:p>
    <w:p w14:paraId="3D833AAE" w14:textId="2B1C5F9F" w:rsidR="00FC5D8C" w:rsidRPr="00BF393C" w:rsidRDefault="00FC5D8C" w:rsidP="00FC5D8C">
      <w:pPr>
        <w:pStyle w:val="2"/>
        <w:numPr>
          <w:ilvl w:val="0"/>
          <w:numId w:val="0"/>
        </w:numPr>
        <w:spacing w:after="240"/>
        <w:jc w:val="both"/>
        <w:rPr>
          <w:b/>
          <w:u w:val="single"/>
        </w:rPr>
      </w:pPr>
      <w:r w:rsidRPr="00BF393C">
        <w:rPr>
          <w:rFonts w:eastAsia="宋体"/>
          <w:b/>
          <w:sz w:val="22"/>
          <w:szCs w:val="24"/>
          <w:u w:val="single"/>
          <w:lang w:eastAsia="zh-CN"/>
        </w:rPr>
        <w:t xml:space="preserve">Scenario B: Narrower UE channel BW within wider BS bandwidth </w:t>
      </w:r>
      <w:r w:rsidRPr="00BF393C">
        <w:rPr>
          <w:b/>
          <w:sz w:val="22"/>
          <w:u w:val="single"/>
        </w:rPr>
        <w:t>(with adjacent operators)</w:t>
      </w:r>
    </w:p>
    <w:p w14:paraId="45E6343F" w14:textId="77777777" w:rsidR="0048038C" w:rsidRDefault="00E761B0" w:rsidP="00E761B0">
      <w:pPr>
        <w:jc w:val="both"/>
      </w:pPr>
      <w:r>
        <w:t>For this scenario, it is still worth further study but obviously more complicated since RAN4 has agreed on that OOB requirements outside BS channel bandwidth cannot be relaxed.</w:t>
      </w:r>
      <w:r w:rsidR="0048038C">
        <w:t xml:space="preserve"> </w:t>
      </w:r>
    </w:p>
    <w:p w14:paraId="0881ED45" w14:textId="44AC9FAB" w:rsidR="00E761B0" w:rsidRDefault="0048038C" w:rsidP="00E761B0">
      <w:pPr>
        <w:jc w:val="both"/>
      </w:pPr>
      <w:r>
        <w:t xml:space="preserve">With that in mind, </w:t>
      </w:r>
      <w:r w:rsidR="00E761B0">
        <w:t>one possible way to consider relaxation is to find a way that could equivalently transform the outer/edge region to inner region</w:t>
      </w:r>
      <w:r w:rsidR="007760C3">
        <w:t xml:space="preserve"> to get smaller MPR in return</w:t>
      </w:r>
      <w:r w:rsidR="00E761B0">
        <w:t xml:space="preserve">. </w:t>
      </w:r>
      <w:r>
        <w:t xml:space="preserve">Following figures are provided to visualize such abstract principle.  </w:t>
      </w:r>
    </w:p>
    <w:p w14:paraId="32D8F646" w14:textId="5CE0B57D" w:rsidR="00552368" w:rsidRDefault="00233EBB" w:rsidP="00AC7E1D">
      <w:pPr>
        <w:jc w:val="center"/>
      </w:pPr>
      <w:r>
        <w:rPr>
          <w:noProof/>
          <w:lang w:val="en-US"/>
        </w:rPr>
        <w:lastRenderedPageBreak/>
        <w:drawing>
          <wp:inline distT="0" distB="0" distL="0" distR="0" wp14:anchorId="52B87C7F" wp14:editId="6B43121A">
            <wp:extent cx="4729747" cy="1693015"/>
            <wp:effectExtent l="19050" t="19050" r="13970" b="215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55057" cy="1702075"/>
                    </a:xfrm>
                    <a:prstGeom prst="rect">
                      <a:avLst/>
                    </a:prstGeom>
                    <a:ln w="6350">
                      <a:solidFill>
                        <a:schemeClr val="tx1"/>
                      </a:solidFill>
                    </a:ln>
                  </pic:spPr>
                </pic:pic>
              </a:graphicData>
            </a:graphic>
          </wp:inline>
        </w:drawing>
      </w:r>
    </w:p>
    <w:p w14:paraId="07EDBAF0" w14:textId="6D291F3E" w:rsidR="007760C3" w:rsidRDefault="00AC7E1D" w:rsidP="00AC7E1D">
      <w:pPr>
        <w:jc w:val="center"/>
      </w:pPr>
      <w:r>
        <w:rPr>
          <w:b/>
        </w:rPr>
        <w:t xml:space="preserve">Figure </w:t>
      </w:r>
      <w:r w:rsidR="006120B2">
        <w:rPr>
          <w:b/>
        </w:rPr>
        <w:t>3</w:t>
      </w:r>
      <w:r>
        <w:rPr>
          <w:b/>
        </w:rPr>
        <w:t xml:space="preserve">. Illustration on how to </w:t>
      </w:r>
      <w:r w:rsidRPr="00AC7E1D">
        <w:rPr>
          <w:b/>
        </w:rPr>
        <w:t>equivalently transform the outer/edge region to inner region to get smaller MPR in return</w:t>
      </w:r>
    </w:p>
    <w:p w14:paraId="30B51334" w14:textId="72E90B5B" w:rsidR="006353DE" w:rsidRDefault="00841AD9" w:rsidP="00CB3EA5">
      <w:pPr>
        <w:jc w:val="both"/>
      </w:pPr>
      <w:r>
        <w:t>As depicted in the above figure</w:t>
      </w:r>
      <w:r w:rsidR="006353DE">
        <w:t xml:space="preserve">, </w:t>
      </w:r>
      <w:r>
        <w:t xml:space="preserve">the </w:t>
      </w:r>
      <w:r w:rsidR="006353DE">
        <w:t>Y</w:t>
      </w:r>
      <w:r>
        <w:t xml:space="preserve"> MHz, which can </w:t>
      </w:r>
      <w:r w:rsidR="00D725CB">
        <w:t xml:space="preserve">serve as </w:t>
      </w:r>
      <w:r>
        <w:t>guard band</w:t>
      </w:r>
      <w:r w:rsidR="00D725CB">
        <w:t xml:space="preserve"> in</w:t>
      </w:r>
      <w:r>
        <w:t xml:space="preserve"> the extension of UE channel bandwidth on both sides,</w:t>
      </w:r>
      <w:r w:rsidR="006353DE">
        <w:t xml:space="preserve"> should be determined</w:t>
      </w:r>
      <w:r>
        <w:t xml:space="preserve"> so that X MHz can be equivalently viewed as “inner RB allocation” relative to (X+2Y) MHz. The legacy OOB requirements are still applied but with Y MHz shifted starting point of</w:t>
      </w:r>
      <w:r w:rsidRPr="00841AD9">
        <w:t xml:space="preserve"> </w:t>
      </w:r>
      <w:r w:rsidRPr="00A1115A">
        <w:t>Δf</w:t>
      </w:r>
      <w:r w:rsidRPr="00A1115A">
        <w:rPr>
          <w:vertAlign w:val="subscript"/>
        </w:rPr>
        <w:t>OOB</w:t>
      </w:r>
      <w:r>
        <w:t>, in order to guarantee the same adjacent channel emissions performance.</w:t>
      </w:r>
      <w:r w:rsidR="00D725CB">
        <w:t xml:space="preserve"> If relaxation within the guard band can be considered, e.g. ACLR/SEM can be waived and only IBE counted, MPR reduction for the transmission on UE channel bandwidth can be feasible. </w:t>
      </w:r>
      <w:r>
        <w:t xml:space="preserve">  </w:t>
      </w:r>
      <w:r w:rsidR="006353DE">
        <w:t xml:space="preserve"> </w:t>
      </w:r>
    </w:p>
    <w:p w14:paraId="39C0B822" w14:textId="62C26A1F" w:rsidR="007760C3" w:rsidRDefault="00841AD9" w:rsidP="00CB3EA5">
      <w:pPr>
        <w:jc w:val="both"/>
      </w:pPr>
      <w:r>
        <w:t xml:space="preserve">It should be noted </w:t>
      </w:r>
      <w:r w:rsidR="00D725CB">
        <w:t xml:space="preserve">that </w:t>
      </w:r>
      <w:r>
        <w:t xml:space="preserve">for the case when </w:t>
      </w:r>
      <w:r w:rsidR="00D725CB">
        <w:t xml:space="preserve">the extended Y MHz guard band exceeds BS channel bandwidth edge, no relaxation should be considered in order to avoid exceeding interference to adjacent operators.   </w:t>
      </w:r>
    </w:p>
    <w:p w14:paraId="2FDC0085" w14:textId="6F02886D" w:rsidR="00D725CB" w:rsidRDefault="00D725CB" w:rsidP="00D725CB">
      <w:pPr>
        <w:jc w:val="both"/>
        <w:rPr>
          <w:b/>
          <w:i/>
        </w:rPr>
      </w:pPr>
      <w:bookmarkStart w:id="5" w:name="_GoBack"/>
      <w:r>
        <w:rPr>
          <w:b/>
          <w:i/>
        </w:rPr>
        <w:t>Proposal 6: For the case with adjacent operators</w:t>
      </w:r>
      <w:r w:rsidR="007F572C">
        <w:rPr>
          <w:b/>
          <w:i/>
        </w:rPr>
        <w:t xml:space="preserve"> and narrower UE channel bandwidth within BS channel bandwidth</w:t>
      </w:r>
      <w:r>
        <w:rPr>
          <w:b/>
          <w:i/>
        </w:rPr>
        <w:t xml:space="preserve">, following mechanism can be considered for </w:t>
      </w:r>
      <w:r w:rsidR="007F572C">
        <w:rPr>
          <w:b/>
          <w:i/>
        </w:rPr>
        <w:t>MPR reduction</w:t>
      </w:r>
      <w:r>
        <w:rPr>
          <w:b/>
          <w:i/>
        </w:rPr>
        <w:t>:</w:t>
      </w:r>
    </w:p>
    <w:p w14:paraId="6C6A6815" w14:textId="3C27BC6E" w:rsidR="00D725CB" w:rsidRDefault="00D725CB" w:rsidP="00D725CB">
      <w:pPr>
        <w:pStyle w:val="aff6"/>
        <w:numPr>
          <w:ilvl w:val="0"/>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Define new starting point of </w:t>
      </w:r>
      <w:r w:rsidRPr="001920A7">
        <w:rPr>
          <w:rFonts w:ascii="Times New Roman" w:hAnsi="Times New Roman"/>
          <w:b/>
          <w:i/>
          <w:sz w:val="20"/>
        </w:rPr>
        <w:t>Δf</w:t>
      </w:r>
      <w:r w:rsidRPr="001920A7">
        <w:rPr>
          <w:rFonts w:ascii="Times New Roman" w:hAnsi="Times New Roman"/>
          <w:b/>
          <w:i/>
          <w:sz w:val="20"/>
          <w:vertAlign w:val="subscript"/>
        </w:rPr>
        <w:t>OOB</w:t>
      </w:r>
      <w:r>
        <w:rPr>
          <w:rFonts w:ascii="Times New Roman" w:hAnsi="Times New Roman"/>
          <w:b/>
          <w:i/>
          <w:kern w:val="0"/>
          <w:sz w:val="20"/>
          <w:szCs w:val="20"/>
          <w:lang w:val="en-GB" w:eastAsia="zh-CN"/>
        </w:rPr>
        <w:t xml:space="preserve"> which is Y MHz away from X MHz UE channel bandwidth at each side</w:t>
      </w:r>
    </w:p>
    <w:p w14:paraId="5B749A61" w14:textId="42481382" w:rsidR="00D725CB" w:rsidRDefault="007F572C" w:rsidP="00D725CB">
      <w:pPr>
        <w:pStyle w:val="aff6"/>
        <w:numPr>
          <w:ilvl w:val="1"/>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Y is determined so </w:t>
      </w:r>
      <w:r w:rsidRPr="007F572C">
        <w:rPr>
          <w:rFonts w:ascii="Times New Roman" w:hAnsi="Times New Roman"/>
          <w:b/>
          <w:i/>
          <w:kern w:val="0"/>
          <w:sz w:val="20"/>
          <w:szCs w:val="20"/>
          <w:lang w:val="en-GB" w:eastAsia="zh-CN"/>
        </w:rPr>
        <w:t>that X MHz can be equivalently viewed as “inner RB allocation” relative to (X+2Y) MHz</w:t>
      </w:r>
      <w:r>
        <w:t xml:space="preserve"> </w:t>
      </w:r>
    </w:p>
    <w:p w14:paraId="77DFB3C1" w14:textId="5D024C22" w:rsidR="007F572C" w:rsidRDefault="00D725CB" w:rsidP="00D725CB">
      <w:pPr>
        <w:pStyle w:val="aff6"/>
        <w:numPr>
          <w:ilvl w:val="0"/>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FFS whether </w:t>
      </w:r>
      <w:r w:rsidRPr="001920A7">
        <w:rPr>
          <w:rFonts w:ascii="Times New Roman" w:hAnsi="Times New Roman"/>
          <w:b/>
          <w:i/>
          <w:kern w:val="0"/>
          <w:sz w:val="20"/>
          <w:szCs w:val="20"/>
          <w:lang w:val="en-GB" w:eastAsia="zh-CN"/>
        </w:rPr>
        <w:t xml:space="preserve">IBE requirements </w:t>
      </w:r>
      <w:r>
        <w:rPr>
          <w:rFonts w:ascii="Times New Roman" w:hAnsi="Times New Roman"/>
          <w:b/>
          <w:i/>
          <w:kern w:val="0"/>
          <w:sz w:val="20"/>
          <w:szCs w:val="20"/>
          <w:lang w:val="en-GB" w:eastAsia="zh-CN"/>
        </w:rPr>
        <w:t xml:space="preserve">can be applied within the Y MHz </w:t>
      </w:r>
      <w:r w:rsidR="007F572C">
        <w:rPr>
          <w:rFonts w:ascii="Times New Roman" w:hAnsi="Times New Roman"/>
          <w:b/>
          <w:i/>
          <w:kern w:val="0"/>
          <w:sz w:val="20"/>
          <w:szCs w:val="20"/>
          <w:lang w:val="en-GB" w:eastAsia="zh-CN"/>
        </w:rPr>
        <w:t>at each side in order to achieve reduced MPR</w:t>
      </w:r>
    </w:p>
    <w:p w14:paraId="53A0F59E" w14:textId="5DA07FDD" w:rsidR="00D725CB" w:rsidRPr="001920A7" w:rsidRDefault="00125903" w:rsidP="00D725CB">
      <w:pPr>
        <w:pStyle w:val="aff6"/>
        <w:numPr>
          <w:ilvl w:val="0"/>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Preclude the case w</w:t>
      </w:r>
      <w:r w:rsidR="007F572C">
        <w:rPr>
          <w:rFonts w:ascii="Times New Roman" w:hAnsi="Times New Roman"/>
          <w:b/>
          <w:i/>
          <w:kern w:val="0"/>
          <w:sz w:val="20"/>
          <w:szCs w:val="20"/>
          <w:lang w:val="en-GB" w:eastAsia="zh-CN"/>
        </w:rPr>
        <w:t>hen the extended Y MHz exceeds BS channel edge</w:t>
      </w:r>
      <w:r w:rsidR="00233EBB">
        <w:rPr>
          <w:rFonts w:ascii="Times New Roman" w:hAnsi="Times New Roman"/>
          <w:b/>
          <w:i/>
          <w:kern w:val="0"/>
          <w:sz w:val="20"/>
          <w:szCs w:val="20"/>
          <w:lang w:val="en-GB" w:eastAsia="zh-CN"/>
        </w:rPr>
        <w:t>, for which</w:t>
      </w:r>
      <w:r>
        <w:rPr>
          <w:rFonts w:ascii="Times New Roman" w:hAnsi="Times New Roman"/>
          <w:b/>
          <w:i/>
          <w:kern w:val="0"/>
          <w:sz w:val="20"/>
          <w:szCs w:val="20"/>
          <w:lang w:val="en-GB" w:eastAsia="zh-CN"/>
        </w:rPr>
        <w:t xml:space="preserve"> legacy MPR requirements apply </w:t>
      </w:r>
      <w:r w:rsidR="007F572C">
        <w:rPr>
          <w:rFonts w:ascii="Times New Roman" w:hAnsi="Times New Roman"/>
          <w:b/>
          <w:i/>
          <w:kern w:val="0"/>
          <w:sz w:val="20"/>
          <w:szCs w:val="20"/>
          <w:lang w:val="en-GB" w:eastAsia="zh-CN"/>
        </w:rPr>
        <w:t xml:space="preserve">  </w:t>
      </w:r>
      <w:r w:rsidR="00D725CB" w:rsidRPr="001920A7">
        <w:rPr>
          <w:rFonts w:ascii="Times New Roman" w:hAnsi="Times New Roman"/>
          <w:b/>
          <w:i/>
          <w:kern w:val="0"/>
          <w:sz w:val="20"/>
          <w:szCs w:val="20"/>
          <w:lang w:val="en-GB" w:eastAsia="zh-CN"/>
        </w:rPr>
        <w:t xml:space="preserve">  </w:t>
      </w:r>
    </w:p>
    <w:p w14:paraId="6261125B" w14:textId="77777777" w:rsidR="003C5B28" w:rsidRDefault="005D194E" w:rsidP="00CB3EA5">
      <w:pPr>
        <w:jc w:val="both"/>
      </w:pPr>
      <w:r>
        <w:t>From technical perspective, all transparent schemes e.g. FDSS can be considered here</w:t>
      </w:r>
      <w:r w:rsidR="00B30714">
        <w:t xml:space="preserve"> since it is trying to introduce guard band in order to pursue MPR performance of inner RB region</w:t>
      </w:r>
      <w:r>
        <w:t>,</w:t>
      </w:r>
      <w:r w:rsidR="00B30714">
        <w:t xml:space="preserve"> which is studied in Rel-18, </w:t>
      </w:r>
      <w:r>
        <w:t>but we think</w:t>
      </w:r>
      <w:r w:rsidR="00B30714">
        <w:t xml:space="preserve"> no additional RAN1 and RAN4 specification impacts need to be considered.</w:t>
      </w:r>
    </w:p>
    <w:p w14:paraId="15FD784A" w14:textId="3067973B" w:rsidR="005D194E" w:rsidRDefault="003C5B28" w:rsidP="00CB3EA5">
      <w:pPr>
        <w:jc w:val="both"/>
      </w:pPr>
      <w:r>
        <w:rPr>
          <w:b/>
          <w:i/>
        </w:rPr>
        <w:t>Proposal 7: Only transparent schemes can be considered but not pursue RAN1 and RAN4 specification impacts.</w:t>
      </w:r>
      <w:r w:rsidR="005D194E">
        <w:t xml:space="preserve"> </w:t>
      </w:r>
    </w:p>
    <w:p w14:paraId="7E952229" w14:textId="71562251" w:rsidR="00E761B0" w:rsidRDefault="003C5B28" w:rsidP="00CB3EA5">
      <w:pPr>
        <w:jc w:val="both"/>
      </w:pPr>
      <w:r>
        <w:t>In this sense</w:t>
      </w:r>
      <w:r w:rsidR="0048038C">
        <w:t xml:space="preserve">, upper bound for this kind of MPR reduction should be clarified, which is </w:t>
      </w:r>
      <w:r w:rsidR="00D55C01">
        <w:t xml:space="preserve">also </w:t>
      </w:r>
      <w:r>
        <w:t>related to co-existence between Rel-18 and Rel-19 mechanism</w:t>
      </w:r>
      <w:r w:rsidR="007760C3">
        <w:t>.</w:t>
      </w:r>
      <w:r w:rsidR="0048038C">
        <w:t xml:space="preserve"> </w:t>
      </w:r>
    </w:p>
    <w:p w14:paraId="6D287796" w14:textId="77777777" w:rsidR="00D55C01" w:rsidRDefault="005D194E" w:rsidP="00CB3EA5">
      <w:pPr>
        <w:jc w:val="both"/>
        <w:rPr>
          <w:b/>
          <w:i/>
        </w:rPr>
      </w:pPr>
      <w:r>
        <w:rPr>
          <w:b/>
          <w:i/>
        </w:rPr>
        <w:t xml:space="preserve">Proposal </w:t>
      </w:r>
      <w:r w:rsidR="003C5B28">
        <w:rPr>
          <w:b/>
          <w:i/>
        </w:rPr>
        <w:t>8</w:t>
      </w:r>
      <w:r>
        <w:rPr>
          <w:b/>
          <w:i/>
        </w:rPr>
        <w:t xml:space="preserve">: </w:t>
      </w:r>
      <w:r w:rsidR="00D55C01">
        <w:rPr>
          <w:b/>
          <w:i/>
        </w:rPr>
        <w:t>For the case with adjacent operators and narrower UE channel bandwidth within BS channel bandwidth, if UE indicates support of Rel-19 MPR reduction, the reduced MPR for outer/edge RB regions cannot be smaller than the MPR requirement for inner RB region respective to each configuration of modulation order and OFDM waveform. Additionally, if UE indicates support of Rel-18 power boosting:</w:t>
      </w:r>
    </w:p>
    <w:p w14:paraId="61C447B7" w14:textId="77777777" w:rsidR="00D176E0" w:rsidRDefault="00D55C01" w:rsidP="00D55C01">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Alternative 1: Power boosting can be allowed for outer/edge RB regions only with QPSK DFT-s-OFDM waveform</w:t>
      </w:r>
      <w:r w:rsidR="00D176E0">
        <w:rPr>
          <w:rFonts w:ascii="Times New Roman" w:hAnsi="Times New Roman"/>
          <w:b/>
          <w:i/>
          <w:kern w:val="0"/>
          <w:sz w:val="20"/>
          <w:szCs w:val="20"/>
          <w:lang w:val="en-GB" w:eastAsia="zh-CN"/>
        </w:rPr>
        <w:t xml:space="preserve">, i.e. </w:t>
      </w:r>
      <w:r w:rsidR="00D176E0" w:rsidRPr="001A57F8">
        <w:rPr>
          <w:rFonts w:ascii="Times New Roman" w:hAnsi="Times New Roman"/>
          <w:b/>
          <w:i/>
          <w:kern w:val="0"/>
          <w:sz w:val="20"/>
          <w:szCs w:val="20"/>
          <w:lang w:val="en-GB" w:eastAsia="zh-CN"/>
        </w:rPr>
        <w:t>PC3+1dB for all bands or PC2+0.5dB for TDD bands.</w:t>
      </w:r>
    </w:p>
    <w:p w14:paraId="09EEB69E" w14:textId="0D9DF8B8" w:rsidR="00D55C01" w:rsidRDefault="00D176E0" w:rsidP="00D55C01">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Alternative 2: Power boosting cannot be allowed for outer/edge RB regions.</w:t>
      </w:r>
      <w:r w:rsidR="00D55C01">
        <w:rPr>
          <w:rFonts w:ascii="Times New Roman" w:hAnsi="Times New Roman"/>
          <w:b/>
          <w:i/>
          <w:kern w:val="0"/>
          <w:sz w:val="20"/>
          <w:szCs w:val="20"/>
          <w:lang w:val="en-GB" w:eastAsia="zh-CN"/>
        </w:rPr>
        <w:t xml:space="preserve">   </w:t>
      </w:r>
    </w:p>
    <w:p w14:paraId="265D1E8A" w14:textId="3DF23F5F" w:rsidR="006A022D" w:rsidRDefault="003331BB" w:rsidP="00CB3EA5">
      <w:pPr>
        <w:jc w:val="both"/>
      </w:pPr>
      <w:r>
        <w:rPr>
          <w:b/>
          <w:i/>
        </w:rPr>
        <w:t xml:space="preserve">Proposal 9: </w:t>
      </w:r>
      <w:r w:rsidR="00D176E0">
        <w:rPr>
          <w:b/>
          <w:i/>
        </w:rPr>
        <w:t>With what have been specified in Rel-18 power boosting</w:t>
      </w:r>
      <w:r w:rsidR="00F66286">
        <w:rPr>
          <w:b/>
          <w:i/>
        </w:rPr>
        <w:t xml:space="preserve"> WI</w:t>
      </w:r>
      <w:r w:rsidR="00D176E0">
        <w:rPr>
          <w:b/>
          <w:i/>
        </w:rPr>
        <w:t>, d</w:t>
      </w:r>
      <w:r>
        <w:rPr>
          <w:b/>
          <w:i/>
        </w:rPr>
        <w:t>o not consider further enhancement for inner RB regions in Rel-19.</w:t>
      </w:r>
    </w:p>
    <w:bookmarkEnd w:id="5"/>
    <w:p w14:paraId="177DCD79" w14:textId="77777777" w:rsidR="00C90946" w:rsidRPr="008575B1" w:rsidRDefault="00C90946"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FF417E3"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FB341C">
        <w:t xml:space="preserve"> </w:t>
      </w:r>
      <w:r w:rsidR="00312E2F">
        <w:t xml:space="preserve">observations and </w:t>
      </w:r>
      <w:r w:rsidRPr="00086BFD">
        <w:t>proposal</w:t>
      </w:r>
      <w:r>
        <w:rPr>
          <w:rFonts w:hint="eastAsia"/>
        </w:rPr>
        <w:t>s</w:t>
      </w:r>
      <w:r w:rsidRPr="00086BFD">
        <w:t>:</w:t>
      </w:r>
      <w:r w:rsidRPr="00671A68">
        <w:rPr>
          <w:rFonts w:hint="eastAsia"/>
          <w:b/>
          <w:i/>
          <w:lang w:val="en-US"/>
        </w:rPr>
        <w:t xml:space="preserve"> </w:t>
      </w:r>
    </w:p>
    <w:p w14:paraId="6B559294" w14:textId="00D19AAE" w:rsidR="00F90360" w:rsidRDefault="00367F9F" w:rsidP="001A61CC">
      <w:pPr>
        <w:jc w:val="both"/>
        <w:rPr>
          <w:b/>
          <w:i/>
        </w:rPr>
      </w:pPr>
      <w:r>
        <w:rPr>
          <w:b/>
          <w:i/>
        </w:rPr>
        <w:lastRenderedPageBreak/>
        <w:t>Observation 1: For what have been extensively studied for transparent schemes in Rel-18, power boosting on top of advertised power class can be delivered only for inner RB region subject to BPSK/QPSK modulation order and DFT-s-OFDM waveform, but cannot be achieved for other cases.</w:t>
      </w:r>
    </w:p>
    <w:p w14:paraId="119D8676" w14:textId="77777777" w:rsidR="00367F9F" w:rsidRDefault="00367F9F" w:rsidP="00367F9F">
      <w:pPr>
        <w:jc w:val="both"/>
        <w:rPr>
          <w:b/>
          <w:i/>
        </w:rPr>
      </w:pPr>
      <w:r>
        <w:rPr>
          <w:b/>
          <w:i/>
        </w:rPr>
        <w:t>Observation 2: For QPSK, the ACLR/SEM requirements are the bottleneck for better</w:t>
      </w:r>
      <w:r w:rsidRPr="00C53553">
        <w:rPr>
          <w:b/>
          <w:i/>
        </w:rPr>
        <w:t xml:space="preserve"> MPR</w:t>
      </w:r>
      <w:r>
        <w:rPr>
          <w:b/>
          <w:i/>
        </w:rPr>
        <w:t xml:space="preserve"> performance in outer/edge RB region, while the bottleneck for inner RB region is IBE requirement instead.</w:t>
      </w:r>
    </w:p>
    <w:p w14:paraId="228DCAA8" w14:textId="77777777" w:rsidR="00367F9F" w:rsidRDefault="00367F9F" w:rsidP="00367F9F">
      <w:pPr>
        <w:jc w:val="both"/>
        <w:rPr>
          <w:b/>
          <w:i/>
        </w:rPr>
      </w:pPr>
      <w:r>
        <w:rPr>
          <w:b/>
          <w:i/>
        </w:rPr>
        <w:t xml:space="preserve">Observation 3: With existing implementation aiming for interference mitigation </w:t>
      </w:r>
      <w:r w:rsidRPr="00011BDE">
        <w:rPr>
          <w:b/>
          <w:i/>
        </w:rPr>
        <w:t>including BS filter de</w:t>
      </w:r>
      <w:r>
        <w:rPr>
          <w:b/>
          <w:i/>
        </w:rPr>
        <w:t xml:space="preserve">sign, guard band, </w:t>
      </w:r>
      <w:r w:rsidRPr="00011BDE">
        <w:rPr>
          <w:b/>
          <w:i/>
        </w:rPr>
        <w:t>spatial isolation</w:t>
      </w:r>
      <w:r>
        <w:rPr>
          <w:b/>
          <w:i/>
        </w:rPr>
        <w:t xml:space="preserve"> and coordination based on measurements, there could be</w:t>
      </w:r>
      <w:r w:rsidRPr="0013747B">
        <w:t xml:space="preserve"> </w:t>
      </w:r>
      <w:r>
        <w:rPr>
          <w:b/>
          <w:i/>
        </w:rPr>
        <w:t>no concern on</w:t>
      </w:r>
      <w:r w:rsidRPr="0013747B">
        <w:rPr>
          <w:b/>
          <w:i/>
        </w:rPr>
        <w:t xml:space="preserve"> adjacent in-band/out-</w:t>
      </w:r>
      <w:r>
        <w:rPr>
          <w:b/>
          <w:i/>
        </w:rPr>
        <w:t>of-band co-existence. Examples are:</w:t>
      </w:r>
    </w:p>
    <w:p w14:paraId="34A44727" w14:textId="77777777" w:rsidR="00367F9F" w:rsidRDefault="00367F9F" w:rsidP="00367F9F">
      <w:pPr>
        <w:pStyle w:val="aff6"/>
        <w:numPr>
          <w:ilvl w:val="0"/>
          <w:numId w:val="42"/>
        </w:numPr>
        <w:ind w:firstLineChars="0"/>
        <w:rPr>
          <w:rFonts w:ascii="Times New Roman" w:hAnsi="Times New Roman"/>
          <w:b/>
          <w:i/>
          <w:kern w:val="0"/>
          <w:sz w:val="20"/>
          <w:szCs w:val="20"/>
          <w:lang w:val="en-GB" w:eastAsia="zh-CN"/>
        </w:rPr>
      </w:pPr>
      <w:r w:rsidRPr="00CC684B">
        <w:rPr>
          <w:rFonts w:ascii="Times New Roman" w:hAnsi="Times New Roman"/>
          <w:b/>
          <w:i/>
          <w:kern w:val="0"/>
          <w:sz w:val="20"/>
          <w:szCs w:val="20"/>
          <w:lang w:val="en-GB" w:eastAsia="zh-CN"/>
        </w:rPr>
        <w:t>NR band n28 in China is co-constructi</w:t>
      </w:r>
      <w:r>
        <w:rPr>
          <w:rFonts w:ascii="Times New Roman" w:hAnsi="Times New Roman"/>
          <w:b/>
          <w:i/>
          <w:kern w:val="0"/>
          <w:sz w:val="20"/>
          <w:szCs w:val="20"/>
          <w:lang w:val="en-GB" w:eastAsia="zh-CN"/>
        </w:rPr>
        <w:t>on</w:t>
      </w:r>
      <w:r w:rsidRPr="00CC684B">
        <w:rPr>
          <w:rFonts w:ascii="Times New Roman" w:hAnsi="Times New Roman"/>
          <w:b/>
          <w:i/>
          <w:kern w:val="0"/>
          <w:sz w:val="20"/>
          <w:szCs w:val="20"/>
          <w:lang w:val="en-GB" w:eastAsia="zh-CN"/>
        </w:rPr>
        <w:t xml:space="preserve"> and sharing by CMCC and CBN</w:t>
      </w:r>
    </w:p>
    <w:p w14:paraId="1D4A7EE2" w14:textId="77777777" w:rsidR="00367F9F" w:rsidRPr="005A0333" w:rsidRDefault="00367F9F" w:rsidP="00367F9F">
      <w:pPr>
        <w:pStyle w:val="aff6"/>
        <w:numPr>
          <w:ilvl w:val="0"/>
          <w:numId w:val="4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NR band n78</w:t>
      </w:r>
      <w:r w:rsidRPr="00CC684B">
        <w:rPr>
          <w:rFonts w:ascii="Times New Roman" w:hAnsi="Times New Roman"/>
          <w:b/>
          <w:i/>
          <w:kern w:val="0"/>
          <w:sz w:val="20"/>
          <w:szCs w:val="20"/>
          <w:lang w:val="en-GB" w:eastAsia="zh-CN"/>
        </w:rPr>
        <w:t xml:space="preserve"> in China is co-constructi</w:t>
      </w:r>
      <w:r>
        <w:rPr>
          <w:rFonts w:ascii="Times New Roman" w:hAnsi="Times New Roman"/>
          <w:b/>
          <w:i/>
          <w:kern w:val="0"/>
          <w:sz w:val="20"/>
          <w:szCs w:val="20"/>
          <w:lang w:val="en-GB" w:eastAsia="zh-CN"/>
        </w:rPr>
        <w:t>on</w:t>
      </w:r>
      <w:r w:rsidRPr="00CC684B">
        <w:rPr>
          <w:rFonts w:ascii="Times New Roman" w:hAnsi="Times New Roman"/>
          <w:b/>
          <w:i/>
          <w:kern w:val="0"/>
          <w:sz w:val="20"/>
          <w:szCs w:val="20"/>
          <w:lang w:val="en-GB" w:eastAsia="zh-CN"/>
        </w:rPr>
        <w:t xml:space="preserve"> and sharing by </w:t>
      </w:r>
      <w:r w:rsidRPr="00EB3005">
        <w:rPr>
          <w:rFonts w:ascii="Times New Roman" w:hAnsi="Times New Roman"/>
          <w:b/>
          <w:i/>
          <w:kern w:val="0"/>
          <w:sz w:val="20"/>
          <w:szCs w:val="20"/>
          <w:lang w:val="en-GB" w:eastAsia="zh-CN"/>
        </w:rPr>
        <w:t>China Unicom and China Telecom</w:t>
      </w:r>
    </w:p>
    <w:p w14:paraId="4DF2642A" w14:textId="77777777" w:rsidR="00367F9F" w:rsidRPr="00CC684B" w:rsidRDefault="00367F9F" w:rsidP="00367F9F">
      <w:pPr>
        <w:pStyle w:val="aff6"/>
        <w:numPr>
          <w:ilvl w:val="0"/>
          <w:numId w:val="42"/>
        </w:numPr>
        <w:ind w:firstLineChars="0"/>
        <w:rPr>
          <w:rFonts w:ascii="Times New Roman" w:hAnsi="Times New Roman"/>
          <w:b/>
          <w:i/>
          <w:kern w:val="0"/>
          <w:sz w:val="20"/>
          <w:szCs w:val="20"/>
          <w:lang w:val="en-GB" w:eastAsia="zh-CN"/>
        </w:rPr>
      </w:pPr>
      <w:r w:rsidRPr="00CC684B">
        <w:rPr>
          <w:rFonts w:ascii="Times New Roman" w:hAnsi="Times New Roman"/>
          <w:b/>
          <w:i/>
          <w:kern w:val="0"/>
          <w:sz w:val="20"/>
          <w:szCs w:val="20"/>
          <w:lang w:val="en-GB" w:eastAsia="zh-CN"/>
        </w:rPr>
        <w:t>NR band n34</w:t>
      </w:r>
      <w:r>
        <w:rPr>
          <w:rFonts w:ascii="Times New Roman" w:hAnsi="Times New Roman"/>
          <w:b/>
          <w:i/>
          <w:kern w:val="0"/>
          <w:sz w:val="20"/>
          <w:szCs w:val="20"/>
          <w:lang w:val="en-GB" w:eastAsia="zh-CN"/>
        </w:rPr>
        <w:t xml:space="preserve"> and n41</w:t>
      </w:r>
      <w:r w:rsidRPr="00CC684B">
        <w:rPr>
          <w:rFonts w:ascii="Times New Roman" w:hAnsi="Times New Roman"/>
          <w:b/>
          <w:i/>
          <w:kern w:val="0"/>
          <w:sz w:val="20"/>
          <w:szCs w:val="20"/>
          <w:lang w:val="en-GB" w:eastAsia="zh-CN"/>
        </w:rPr>
        <w:t xml:space="preserve"> in China </w:t>
      </w:r>
      <w:r>
        <w:rPr>
          <w:rFonts w:ascii="Times New Roman" w:hAnsi="Times New Roman"/>
          <w:b/>
          <w:i/>
          <w:kern w:val="0"/>
          <w:sz w:val="20"/>
          <w:szCs w:val="20"/>
          <w:lang w:val="en-GB" w:eastAsia="zh-CN"/>
        </w:rPr>
        <w:t>are</w:t>
      </w:r>
      <w:r w:rsidRPr="00CC684B">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exclusively </w:t>
      </w:r>
      <w:r w:rsidRPr="00CC684B">
        <w:rPr>
          <w:rFonts w:ascii="Times New Roman" w:hAnsi="Times New Roman"/>
          <w:b/>
          <w:i/>
          <w:kern w:val="0"/>
          <w:sz w:val="20"/>
          <w:szCs w:val="20"/>
          <w:lang w:val="en-GB" w:eastAsia="zh-CN"/>
        </w:rPr>
        <w:t>allocated to CMCC</w:t>
      </w:r>
    </w:p>
    <w:p w14:paraId="3667ED85" w14:textId="3D3B4F54" w:rsidR="00367F9F" w:rsidRPr="00367F9F" w:rsidRDefault="00367F9F" w:rsidP="00367F9F">
      <w:pPr>
        <w:jc w:val="both"/>
      </w:pPr>
      <w:r>
        <w:rPr>
          <w:b/>
          <w:i/>
        </w:rPr>
        <w:t xml:space="preserve">Observation 4: For the case that </w:t>
      </w:r>
      <w:r w:rsidRPr="00DF5716">
        <w:rPr>
          <w:b/>
          <w:i/>
        </w:rPr>
        <w:t>UE channel bandwidth equals to BS channel bandwidth</w:t>
      </w:r>
      <w:r>
        <w:rPr>
          <w:b/>
          <w:i/>
        </w:rPr>
        <w:t xml:space="preserve">, preliminary measurement results show that PC2 QPSK with DFT-s-OFDM waveform, about 1 dB MPR reduction gain can be expected for outer region when both ACLR and SEM requirements are waived.  </w:t>
      </w:r>
    </w:p>
    <w:p w14:paraId="652ACF84" w14:textId="77777777" w:rsidR="00367F9F" w:rsidRDefault="00367F9F" w:rsidP="00367F9F">
      <w:pPr>
        <w:jc w:val="both"/>
        <w:rPr>
          <w:b/>
          <w:i/>
        </w:rPr>
      </w:pPr>
    </w:p>
    <w:p w14:paraId="254CE297" w14:textId="77777777" w:rsidR="00367F9F" w:rsidRDefault="00367F9F" w:rsidP="00367F9F">
      <w:pPr>
        <w:jc w:val="both"/>
        <w:rPr>
          <w:b/>
          <w:i/>
        </w:rPr>
      </w:pPr>
      <w:r>
        <w:rPr>
          <w:b/>
          <w:i/>
        </w:rPr>
        <w:t xml:space="preserve">Proposal 1: Only consider outer/edge region for ACLR/SEM relaxation based MPR reduction in Rel-19. </w:t>
      </w:r>
    </w:p>
    <w:p w14:paraId="3E7EAC8D" w14:textId="77777777" w:rsidR="00367F9F" w:rsidRDefault="00367F9F" w:rsidP="00367F9F">
      <w:pPr>
        <w:jc w:val="both"/>
        <w:rPr>
          <w:rFonts w:eastAsiaTheme="minorEastAsia"/>
        </w:rPr>
      </w:pPr>
      <w:r>
        <w:rPr>
          <w:b/>
          <w:i/>
        </w:rPr>
        <w:t>Proposal 2: Do not consider relaxation on spurious emission requirement in Rel-19.</w:t>
      </w:r>
    </w:p>
    <w:p w14:paraId="0D6511B6" w14:textId="77777777" w:rsidR="00367F9F" w:rsidRDefault="00367F9F" w:rsidP="00367F9F">
      <w:pPr>
        <w:jc w:val="both"/>
      </w:pPr>
      <w:r>
        <w:rPr>
          <w:b/>
          <w:i/>
        </w:rPr>
        <w:t>Proposal 3: Clarify the BS channel bandwidth means BS RF bandwidth that covers single carrier, multi-carriers and multi-RATs scenarios.</w:t>
      </w:r>
    </w:p>
    <w:p w14:paraId="7752A391" w14:textId="77777777" w:rsidR="00367F9F" w:rsidRDefault="00367F9F" w:rsidP="00367F9F">
      <w:pPr>
        <w:jc w:val="both"/>
        <w:rPr>
          <w:b/>
          <w:i/>
        </w:rPr>
      </w:pPr>
      <w:r>
        <w:rPr>
          <w:b/>
          <w:i/>
        </w:rPr>
        <w:t>Proposal 4: Conclude that it is feasible to relax ACLR and/or SEM requirements for</w:t>
      </w:r>
      <w:r w:rsidRPr="0013747B">
        <w:t xml:space="preserve"> </w:t>
      </w:r>
      <w:r>
        <w:rPr>
          <w:b/>
          <w:i/>
        </w:rPr>
        <w:t>no</w:t>
      </w:r>
      <w:r w:rsidRPr="0013747B">
        <w:rPr>
          <w:b/>
          <w:i/>
        </w:rPr>
        <w:t xml:space="preserve"> adjacent in-band/out-of-band co-existence issue</w:t>
      </w:r>
      <w:r>
        <w:rPr>
          <w:b/>
          <w:i/>
        </w:rPr>
        <w:t xml:space="preserve"> scenario when UE channel bandwidth equals to BS channel bandwidth.</w:t>
      </w:r>
    </w:p>
    <w:p w14:paraId="3859FAA5" w14:textId="77777777" w:rsidR="00367F9F" w:rsidRPr="0013747B" w:rsidRDefault="00367F9F" w:rsidP="00367F9F">
      <w:pPr>
        <w:pStyle w:val="aff6"/>
        <w:numPr>
          <w:ilvl w:val="0"/>
          <w:numId w:val="42"/>
        </w:numPr>
        <w:ind w:firstLineChars="0"/>
        <w:rPr>
          <w:rFonts w:ascii="Times New Roman" w:hAnsi="Times New Roman"/>
          <w:b/>
          <w:i/>
          <w:kern w:val="0"/>
          <w:sz w:val="20"/>
          <w:szCs w:val="20"/>
          <w:lang w:val="en-GB" w:eastAsia="zh-CN"/>
        </w:rPr>
      </w:pPr>
      <w:r w:rsidRPr="0013747B">
        <w:rPr>
          <w:rFonts w:ascii="Times New Roman" w:hAnsi="Times New Roman"/>
          <w:b/>
          <w:i/>
          <w:kern w:val="0"/>
          <w:sz w:val="20"/>
          <w:szCs w:val="20"/>
          <w:lang w:val="en-GB" w:eastAsia="zh-CN"/>
        </w:rPr>
        <w:t xml:space="preserve">Further study on how </w:t>
      </w:r>
      <w:r>
        <w:rPr>
          <w:rFonts w:ascii="Times New Roman" w:hAnsi="Times New Roman"/>
          <w:b/>
          <w:i/>
          <w:kern w:val="0"/>
          <w:sz w:val="20"/>
          <w:szCs w:val="20"/>
          <w:lang w:val="en-GB" w:eastAsia="zh-CN"/>
        </w:rPr>
        <w:t xml:space="preserve">exactly </w:t>
      </w:r>
      <w:r w:rsidRPr="0013747B">
        <w:rPr>
          <w:rFonts w:ascii="Times New Roman" w:hAnsi="Times New Roman"/>
          <w:b/>
          <w:i/>
          <w:kern w:val="0"/>
          <w:sz w:val="20"/>
          <w:szCs w:val="20"/>
          <w:lang w:val="en-GB" w:eastAsia="zh-CN"/>
        </w:rPr>
        <w:t>ACLR and/or SEM requirements</w:t>
      </w:r>
      <w:r>
        <w:rPr>
          <w:rFonts w:ascii="Times New Roman" w:hAnsi="Times New Roman"/>
          <w:b/>
          <w:i/>
          <w:kern w:val="0"/>
          <w:sz w:val="20"/>
          <w:szCs w:val="20"/>
          <w:lang w:val="en-GB" w:eastAsia="zh-CN"/>
        </w:rPr>
        <w:t xml:space="preserve"> can be relaxed</w:t>
      </w:r>
      <w:r w:rsidRPr="0013747B">
        <w:rPr>
          <w:rFonts w:ascii="Times New Roman" w:hAnsi="Times New Roman"/>
          <w:b/>
          <w:i/>
          <w:kern w:val="0"/>
          <w:sz w:val="20"/>
          <w:szCs w:val="20"/>
          <w:lang w:val="en-GB" w:eastAsia="zh-CN"/>
        </w:rPr>
        <w:t xml:space="preserve">. </w:t>
      </w:r>
    </w:p>
    <w:p w14:paraId="1F3A64DF" w14:textId="77777777" w:rsidR="00367F9F" w:rsidRDefault="00367F9F" w:rsidP="00367F9F">
      <w:pPr>
        <w:jc w:val="both"/>
        <w:rPr>
          <w:b/>
          <w:i/>
        </w:rPr>
      </w:pPr>
      <w:r>
        <w:rPr>
          <w:b/>
          <w:i/>
        </w:rPr>
        <w:t>Proposal 5: Conclude that it is feasible to relax ACLR and/or SEM requirements for</w:t>
      </w:r>
      <w:r w:rsidRPr="0013747B">
        <w:t xml:space="preserve"> </w:t>
      </w:r>
      <w:r>
        <w:rPr>
          <w:b/>
          <w:i/>
        </w:rPr>
        <w:t>no</w:t>
      </w:r>
      <w:r w:rsidRPr="0013747B">
        <w:rPr>
          <w:b/>
          <w:i/>
        </w:rPr>
        <w:t xml:space="preserve"> adjacent in-band/out-of-band co-existence issue</w:t>
      </w:r>
      <w:r>
        <w:rPr>
          <w:b/>
          <w:i/>
        </w:rPr>
        <w:t xml:space="preserve"> scenario when UE channel bandwidth is smaller than BS channel bandwidth.</w:t>
      </w:r>
    </w:p>
    <w:p w14:paraId="1E3C7C4E" w14:textId="77777777" w:rsidR="00367F9F" w:rsidRPr="00051493" w:rsidRDefault="00367F9F" w:rsidP="00367F9F">
      <w:pPr>
        <w:pStyle w:val="aff6"/>
        <w:numPr>
          <w:ilvl w:val="0"/>
          <w:numId w:val="42"/>
        </w:numPr>
        <w:ind w:firstLineChars="0"/>
        <w:rPr>
          <w:rFonts w:ascii="Times New Roman" w:hAnsi="Times New Roman"/>
          <w:b/>
          <w:i/>
          <w:kern w:val="0"/>
          <w:sz w:val="20"/>
          <w:szCs w:val="20"/>
          <w:lang w:val="en-GB" w:eastAsia="zh-CN"/>
        </w:rPr>
      </w:pPr>
      <w:r w:rsidRPr="007B1663">
        <w:rPr>
          <w:rFonts w:ascii="Times New Roman" w:hAnsi="Times New Roman"/>
          <w:b/>
          <w:i/>
          <w:kern w:val="0"/>
          <w:sz w:val="20"/>
          <w:szCs w:val="20"/>
          <w:lang w:val="en-GB" w:eastAsia="zh-CN"/>
        </w:rPr>
        <w:t xml:space="preserve">Further study on how </w:t>
      </w:r>
      <w:r>
        <w:rPr>
          <w:rFonts w:ascii="Times New Roman" w:hAnsi="Times New Roman"/>
          <w:b/>
          <w:i/>
          <w:kern w:val="0"/>
          <w:sz w:val="20"/>
          <w:szCs w:val="20"/>
          <w:lang w:val="en-GB" w:eastAsia="zh-CN"/>
        </w:rPr>
        <w:t xml:space="preserve">exactly </w:t>
      </w:r>
      <w:r w:rsidRPr="0013747B">
        <w:rPr>
          <w:rFonts w:ascii="Times New Roman" w:hAnsi="Times New Roman"/>
          <w:b/>
          <w:i/>
          <w:kern w:val="0"/>
          <w:sz w:val="20"/>
          <w:szCs w:val="20"/>
          <w:lang w:val="en-GB" w:eastAsia="zh-CN"/>
        </w:rPr>
        <w:t>ACLR and/or SEM requirements</w:t>
      </w:r>
      <w:r>
        <w:rPr>
          <w:rFonts w:ascii="Times New Roman" w:hAnsi="Times New Roman"/>
          <w:b/>
          <w:i/>
          <w:kern w:val="0"/>
          <w:sz w:val="20"/>
          <w:szCs w:val="20"/>
          <w:lang w:val="en-GB" w:eastAsia="zh-CN"/>
        </w:rPr>
        <w:t xml:space="preserve"> can be relaxed comparing to IBE requirement within the gap between UE channel bandwidth and the edge of BS channel bandwidth.   </w:t>
      </w:r>
    </w:p>
    <w:p w14:paraId="04383178" w14:textId="77777777" w:rsidR="00367F9F" w:rsidRDefault="00367F9F" w:rsidP="00367F9F">
      <w:pPr>
        <w:jc w:val="both"/>
        <w:rPr>
          <w:b/>
          <w:i/>
        </w:rPr>
      </w:pPr>
      <w:r>
        <w:rPr>
          <w:b/>
          <w:i/>
        </w:rPr>
        <w:t>Proposal 6: For the case with adjacent operators and narrower UE channel bandwidth within BS channel bandwidth, following mechanism can be considered for MPR reduction:</w:t>
      </w:r>
    </w:p>
    <w:p w14:paraId="7ACE74F3" w14:textId="77777777" w:rsidR="00367F9F" w:rsidRDefault="00367F9F" w:rsidP="00367F9F">
      <w:pPr>
        <w:pStyle w:val="aff6"/>
        <w:numPr>
          <w:ilvl w:val="0"/>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Define new starting point of </w:t>
      </w:r>
      <w:r w:rsidRPr="001920A7">
        <w:rPr>
          <w:rFonts w:ascii="Times New Roman" w:hAnsi="Times New Roman"/>
          <w:b/>
          <w:i/>
          <w:sz w:val="20"/>
        </w:rPr>
        <w:t>Δf</w:t>
      </w:r>
      <w:r w:rsidRPr="001920A7">
        <w:rPr>
          <w:rFonts w:ascii="Times New Roman" w:hAnsi="Times New Roman"/>
          <w:b/>
          <w:i/>
          <w:sz w:val="20"/>
          <w:vertAlign w:val="subscript"/>
        </w:rPr>
        <w:t>OOB</w:t>
      </w:r>
      <w:r>
        <w:rPr>
          <w:rFonts w:ascii="Times New Roman" w:hAnsi="Times New Roman"/>
          <w:b/>
          <w:i/>
          <w:kern w:val="0"/>
          <w:sz w:val="20"/>
          <w:szCs w:val="20"/>
          <w:lang w:val="en-GB" w:eastAsia="zh-CN"/>
        </w:rPr>
        <w:t xml:space="preserve"> which is Y MHz away from X MHz UE channel bandwidth at each side</w:t>
      </w:r>
    </w:p>
    <w:p w14:paraId="5D697C7F" w14:textId="77777777" w:rsidR="00367F9F" w:rsidRDefault="00367F9F" w:rsidP="00367F9F">
      <w:pPr>
        <w:pStyle w:val="aff6"/>
        <w:numPr>
          <w:ilvl w:val="1"/>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Y is determined so </w:t>
      </w:r>
      <w:r w:rsidRPr="007F572C">
        <w:rPr>
          <w:rFonts w:ascii="Times New Roman" w:hAnsi="Times New Roman"/>
          <w:b/>
          <w:i/>
          <w:kern w:val="0"/>
          <w:sz w:val="20"/>
          <w:szCs w:val="20"/>
          <w:lang w:val="en-GB" w:eastAsia="zh-CN"/>
        </w:rPr>
        <w:t>that X MHz can be equivalently viewed as “inner RB allocation” relative to (X+2Y) MHz</w:t>
      </w:r>
      <w:r>
        <w:t xml:space="preserve"> </w:t>
      </w:r>
    </w:p>
    <w:p w14:paraId="32D9F578" w14:textId="77777777" w:rsidR="00367F9F" w:rsidRDefault="00367F9F" w:rsidP="00367F9F">
      <w:pPr>
        <w:pStyle w:val="aff6"/>
        <w:numPr>
          <w:ilvl w:val="0"/>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FFS whether </w:t>
      </w:r>
      <w:r w:rsidRPr="001920A7">
        <w:rPr>
          <w:rFonts w:ascii="Times New Roman" w:hAnsi="Times New Roman"/>
          <w:b/>
          <w:i/>
          <w:kern w:val="0"/>
          <w:sz w:val="20"/>
          <w:szCs w:val="20"/>
          <w:lang w:val="en-GB" w:eastAsia="zh-CN"/>
        </w:rPr>
        <w:t xml:space="preserve">IBE requirements </w:t>
      </w:r>
      <w:r>
        <w:rPr>
          <w:rFonts w:ascii="Times New Roman" w:hAnsi="Times New Roman"/>
          <w:b/>
          <w:i/>
          <w:kern w:val="0"/>
          <w:sz w:val="20"/>
          <w:szCs w:val="20"/>
          <w:lang w:val="en-GB" w:eastAsia="zh-CN"/>
        </w:rPr>
        <w:t>can be applied within the Y MHz at each side in order to achieve reduced MPR</w:t>
      </w:r>
    </w:p>
    <w:p w14:paraId="6EAAD48F" w14:textId="77777777" w:rsidR="00367F9F" w:rsidRPr="001920A7" w:rsidRDefault="00367F9F" w:rsidP="00367F9F">
      <w:pPr>
        <w:pStyle w:val="aff6"/>
        <w:numPr>
          <w:ilvl w:val="0"/>
          <w:numId w:val="4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Preclude the case when the extended Y MHz exceeds BS channel edge, for which legacy MPR requirements apply   </w:t>
      </w:r>
      <w:r w:rsidRPr="001920A7">
        <w:rPr>
          <w:rFonts w:ascii="Times New Roman" w:hAnsi="Times New Roman"/>
          <w:b/>
          <w:i/>
          <w:kern w:val="0"/>
          <w:sz w:val="20"/>
          <w:szCs w:val="20"/>
          <w:lang w:val="en-GB" w:eastAsia="zh-CN"/>
        </w:rPr>
        <w:t xml:space="preserve">  </w:t>
      </w:r>
    </w:p>
    <w:p w14:paraId="16162E93" w14:textId="39114652" w:rsidR="00367F9F" w:rsidRDefault="00367F9F" w:rsidP="00367F9F">
      <w:pPr>
        <w:jc w:val="both"/>
      </w:pPr>
      <w:r>
        <w:rPr>
          <w:b/>
          <w:i/>
        </w:rPr>
        <w:t>Proposal 7: Only transparent schemes can be considered but not pursue RAN1 and RAN4 specification impacts.</w:t>
      </w:r>
      <w:r>
        <w:t xml:space="preserve"> </w:t>
      </w:r>
    </w:p>
    <w:p w14:paraId="6C0569FB" w14:textId="77777777" w:rsidR="00367F9F" w:rsidRDefault="00367F9F" w:rsidP="00367F9F">
      <w:pPr>
        <w:jc w:val="both"/>
        <w:rPr>
          <w:b/>
          <w:i/>
        </w:rPr>
      </w:pPr>
      <w:r>
        <w:rPr>
          <w:b/>
          <w:i/>
        </w:rPr>
        <w:t>Proposal 8: For the case with adjacent operators and narrower UE channel bandwidth within BS channel bandwidth, if UE indicates support of Rel-19 MPR reduction, the reduced MPR for outer/edge RB regions cannot be smaller than the MPR requirement for inner RB region respective to each configuration of modulation order and OFDM waveform. Additionally, if UE indicates support of Rel-18 power boosting:</w:t>
      </w:r>
    </w:p>
    <w:p w14:paraId="26BFC54F" w14:textId="77777777" w:rsidR="00367F9F" w:rsidRDefault="00367F9F" w:rsidP="00367F9F">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Alternative 1: Power boosting can be allowed for outer/edge RB regions only with QPSK DFT-s-OFDM waveform, i.e. </w:t>
      </w:r>
      <w:r w:rsidRPr="001A57F8">
        <w:rPr>
          <w:rFonts w:ascii="Times New Roman" w:hAnsi="Times New Roman"/>
          <w:b/>
          <w:i/>
          <w:kern w:val="0"/>
          <w:sz w:val="20"/>
          <w:szCs w:val="20"/>
          <w:lang w:val="en-GB" w:eastAsia="zh-CN"/>
        </w:rPr>
        <w:t>PC3+1dB for all bands or PC2+0.5dB for TDD bands.</w:t>
      </w:r>
    </w:p>
    <w:p w14:paraId="26013CBF" w14:textId="77777777" w:rsidR="00367F9F" w:rsidRDefault="00367F9F" w:rsidP="00367F9F">
      <w:pPr>
        <w:pStyle w:val="aff6"/>
        <w:numPr>
          <w:ilvl w:val="0"/>
          <w:numId w:val="4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Alternative 2: Power boosting cannot be allowed for outer/edge RB regions.   </w:t>
      </w:r>
    </w:p>
    <w:p w14:paraId="18842516" w14:textId="77777777" w:rsidR="00367F9F" w:rsidRDefault="00367F9F" w:rsidP="00367F9F">
      <w:pPr>
        <w:jc w:val="both"/>
      </w:pPr>
      <w:r>
        <w:rPr>
          <w:b/>
          <w:i/>
        </w:rPr>
        <w:t>Proposal 9: With what have been specified in Rel-18 power boosting WI, do not consider further enhancement for inner RB regions in Rel-19.</w:t>
      </w:r>
    </w:p>
    <w:p w14:paraId="7E1BE9B1" w14:textId="77777777" w:rsidR="00367F9F" w:rsidRPr="0057546E" w:rsidRDefault="00367F9F" w:rsidP="001A61CC">
      <w:pPr>
        <w:jc w:val="both"/>
        <w:rPr>
          <w:b/>
          <w:i/>
        </w:rPr>
      </w:pPr>
    </w:p>
    <w:p w14:paraId="6E4DEA30" w14:textId="77777777" w:rsidR="00B22DA6" w:rsidRDefault="00B22DA6" w:rsidP="00B22DA6">
      <w:pPr>
        <w:pStyle w:val="1"/>
        <w:numPr>
          <w:ilvl w:val="0"/>
          <w:numId w:val="0"/>
        </w:numPr>
        <w:rPr>
          <w:rFonts w:eastAsia="宋体"/>
          <w:lang w:eastAsia="zh-CN"/>
        </w:rPr>
      </w:pPr>
      <w:r>
        <w:lastRenderedPageBreak/>
        <w:t>References</w:t>
      </w:r>
    </w:p>
    <w:p w14:paraId="002BFEF5" w14:textId="77777777" w:rsidR="00CF4C65" w:rsidRPr="00CF4C65" w:rsidRDefault="00BE223D" w:rsidP="005E0491">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8741F1">
        <w:t>6584</w:t>
      </w:r>
      <w:r w:rsidR="00212750">
        <w:t xml:space="preserve">, </w:t>
      </w:r>
      <w:r w:rsidR="00212750" w:rsidRPr="001D14BB">
        <w:t>“</w:t>
      </w:r>
      <w:r w:rsidR="008741F1" w:rsidRPr="008741F1">
        <w:t>WF on 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169C776E" w14:textId="6FC61591" w:rsidR="0067071C" w:rsidRPr="00CF4C65" w:rsidRDefault="00CF4C65" w:rsidP="00CF4C65">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063395" w:rsidRPr="008E2E5B">
        <w:rPr>
          <w:lang w:val="it-IT"/>
        </w:rPr>
        <w:t>2405306, “Discussion on enhanced MPR scenario”, CMCC, 3GPP TSG-RAN WG4 Meeting #110bis,</w:t>
      </w:r>
      <w:r w:rsidR="00063395" w:rsidRPr="008E2E5B">
        <w:t xml:space="preserve"> </w:t>
      </w:r>
      <w:r w:rsidR="00063395" w:rsidRPr="008E2E5B">
        <w:rPr>
          <w:lang w:val="it-IT"/>
        </w:rPr>
        <w:t>Changsha, China, 14-19 April, 2024</w:t>
      </w:r>
      <w:r>
        <w:t>.</w:t>
      </w:r>
      <w:r w:rsidR="008969D7">
        <w:t xml:space="preserve">                                                                                                                                     </w:t>
      </w:r>
      <w:r w:rsidR="00796C4E">
        <w:t xml:space="preserve">                               </w:t>
      </w:r>
    </w:p>
    <w:sectPr w:rsidR="0067071C" w:rsidRPr="00CF4C65"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1E852" w14:textId="77777777" w:rsidR="00E42566" w:rsidRDefault="00E42566" w:rsidP="0052762B">
      <w:r>
        <w:separator/>
      </w:r>
    </w:p>
  </w:endnote>
  <w:endnote w:type="continuationSeparator" w:id="0">
    <w:p w14:paraId="3973B431" w14:textId="77777777" w:rsidR="00E42566" w:rsidRDefault="00E4256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33A3F" w14:textId="77777777" w:rsidR="00E42566" w:rsidRDefault="00E42566" w:rsidP="0052762B">
      <w:r>
        <w:separator/>
      </w:r>
    </w:p>
  </w:footnote>
  <w:footnote w:type="continuationSeparator" w:id="0">
    <w:p w14:paraId="7ED64087" w14:textId="77777777" w:rsidR="00E42566" w:rsidRDefault="00E4256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1E3221"/>
    <w:multiLevelType w:val="hybridMultilevel"/>
    <w:tmpl w:val="BE8A33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7060C6"/>
    <w:multiLevelType w:val="hybridMultilevel"/>
    <w:tmpl w:val="0BFAB6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E2476F"/>
    <w:multiLevelType w:val="hybridMultilevel"/>
    <w:tmpl w:val="9F18E770"/>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720117"/>
    <w:multiLevelType w:val="hybridMultilevel"/>
    <w:tmpl w:val="F10C1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7"/>
  </w:num>
  <w:num w:numId="5">
    <w:abstractNumId w:val="36"/>
  </w:num>
  <w:num w:numId="6">
    <w:abstractNumId w:val="14"/>
  </w:num>
  <w:num w:numId="7">
    <w:abstractNumId w:val="28"/>
  </w:num>
  <w:num w:numId="8">
    <w:abstractNumId w:val="44"/>
  </w:num>
  <w:num w:numId="9">
    <w:abstractNumId w:val="12"/>
  </w:num>
  <w:num w:numId="10">
    <w:abstractNumId w:val="4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3"/>
  </w:num>
  <w:num w:numId="18">
    <w:abstractNumId w:val="5"/>
  </w:num>
  <w:num w:numId="19">
    <w:abstractNumId w:val="2"/>
  </w:num>
  <w:num w:numId="20">
    <w:abstractNumId w:val="9"/>
  </w:num>
  <w:num w:numId="21">
    <w:abstractNumId w:val="23"/>
  </w:num>
  <w:num w:numId="22">
    <w:abstractNumId w:val="4"/>
  </w:num>
  <w:num w:numId="23">
    <w:abstractNumId w:val="24"/>
  </w:num>
  <w:num w:numId="24">
    <w:abstractNumId w:val="25"/>
  </w:num>
  <w:num w:numId="25">
    <w:abstractNumId w:val="34"/>
  </w:num>
  <w:num w:numId="26">
    <w:abstractNumId w:val="10"/>
  </w:num>
  <w:num w:numId="27">
    <w:abstractNumId w:val="20"/>
  </w:num>
  <w:num w:numId="28">
    <w:abstractNumId w:val="16"/>
  </w:num>
  <w:num w:numId="29">
    <w:abstractNumId w:val="6"/>
  </w:num>
  <w:num w:numId="30">
    <w:abstractNumId w:val="42"/>
  </w:num>
  <w:num w:numId="31">
    <w:abstractNumId w:val="7"/>
  </w:num>
  <w:num w:numId="32">
    <w:abstractNumId w:val="30"/>
  </w:num>
  <w:num w:numId="33">
    <w:abstractNumId w:val="31"/>
  </w:num>
  <w:num w:numId="34">
    <w:abstractNumId w:val="33"/>
  </w:num>
  <w:num w:numId="35">
    <w:abstractNumId w:val="38"/>
  </w:num>
  <w:num w:numId="36">
    <w:abstractNumId w:val="0"/>
  </w:num>
  <w:num w:numId="37">
    <w:abstractNumId w:val="22"/>
  </w:num>
  <w:num w:numId="38">
    <w:abstractNumId w:val="32"/>
  </w:num>
  <w:num w:numId="39">
    <w:abstractNumId w:val="11"/>
  </w:num>
  <w:num w:numId="40">
    <w:abstractNumId w:val="1"/>
  </w:num>
  <w:num w:numId="41">
    <w:abstractNumId w:val="40"/>
  </w:num>
  <w:num w:numId="42">
    <w:abstractNumId w:val="43"/>
  </w:num>
  <w:num w:numId="43">
    <w:abstractNumId w:val="35"/>
  </w:num>
  <w:num w:numId="44">
    <w:abstractNumId w:val="39"/>
  </w:num>
  <w:num w:numId="4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0AE"/>
    <w:rsid w:val="000116BD"/>
    <w:rsid w:val="00011BDE"/>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2BFA"/>
    <w:rsid w:val="00033F47"/>
    <w:rsid w:val="00034749"/>
    <w:rsid w:val="000347DA"/>
    <w:rsid w:val="00034BF3"/>
    <w:rsid w:val="00034F28"/>
    <w:rsid w:val="0003564D"/>
    <w:rsid w:val="000365C5"/>
    <w:rsid w:val="000368DA"/>
    <w:rsid w:val="00037162"/>
    <w:rsid w:val="0003726B"/>
    <w:rsid w:val="00037BE4"/>
    <w:rsid w:val="000402AB"/>
    <w:rsid w:val="00040C0D"/>
    <w:rsid w:val="00041AF5"/>
    <w:rsid w:val="00041EA3"/>
    <w:rsid w:val="0004270D"/>
    <w:rsid w:val="00043B24"/>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493"/>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95"/>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809"/>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2AD"/>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182"/>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013"/>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3EE"/>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469"/>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05C"/>
    <w:rsid w:val="001253DF"/>
    <w:rsid w:val="00125824"/>
    <w:rsid w:val="00125903"/>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47B"/>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F6"/>
    <w:rsid w:val="001503CF"/>
    <w:rsid w:val="00151161"/>
    <w:rsid w:val="00151719"/>
    <w:rsid w:val="0015196F"/>
    <w:rsid w:val="00151DCD"/>
    <w:rsid w:val="001529C9"/>
    <w:rsid w:val="00152BC7"/>
    <w:rsid w:val="00152FE6"/>
    <w:rsid w:val="001530C2"/>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C66"/>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0A7"/>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3E1"/>
    <w:rsid w:val="001F79FA"/>
    <w:rsid w:val="001F7C4D"/>
    <w:rsid w:val="002002DB"/>
    <w:rsid w:val="002004D3"/>
    <w:rsid w:val="002006E3"/>
    <w:rsid w:val="00200811"/>
    <w:rsid w:val="002009F4"/>
    <w:rsid w:val="00201225"/>
    <w:rsid w:val="002018AC"/>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0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3EBB"/>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A0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42C"/>
    <w:rsid w:val="002C0617"/>
    <w:rsid w:val="002C061F"/>
    <w:rsid w:val="002C0B42"/>
    <w:rsid w:val="002C0FBE"/>
    <w:rsid w:val="002C1D14"/>
    <w:rsid w:val="002C1E67"/>
    <w:rsid w:val="002C252B"/>
    <w:rsid w:val="002C3755"/>
    <w:rsid w:val="002C39B0"/>
    <w:rsid w:val="002C3D43"/>
    <w:rsid w:val="002C43AB"/>
    <w:rsid w:val="002C443E"/>
    <w:rsid w:val="002C497E"/>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B52"/>
    <w:rsid w:val="002D7EE5"/>
    <w:rsid w:val="002E0753"/>
    <w:rsid w:val="002E092D"/>
    <w:rsid w:val="002E1055"/>
    <w:rsid w:val="002E17D8"/>
    <w:rsid w:val="002E1C9B"/>
    <w:rsid w:val="002E31AE"/>
    <w:rsid w:val="002E3C54"/>
    <w:rsid w:val="002E43C5"/>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1BD"/>
    <w:rsid w:val="00312591"/>
    <w:rsid w:val="00312E2F"/>
    <w:rsid w:val="003133C3"/>
    <w:rsid w:val="0031371D"/>
    <w:rsid w:val="00313F42"/>
    <w:rsid w:val="00314726"/>
    <w:rsid w:val="00314DE5"/>
    <w:rsid w:val="00315554"/>
    <w:rsid w:val="003157EA"/>
    <w:rsid w:val="00315821"/>
    <w:rsid w:val="00315B26"/>
    <w:rsid w:val="003164E5"/>
    <w:rsid w:val="00316E2C"/>
    <w:rsid w:val="0031703C"/>
    <w:rsid w:val="003170E8"/>
    <w:rsid w:val="003175C8"/>
    <w:rsid w:val="003176E4"/>
    <w:rsid w:val="00317AD3"/>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F60"/>
    <w:rsid w:val="00332A3B"/>
    <w:rsid w:val="00332E63"/>
    <w:rsid w:val="003331BB"/>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84C"/>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CCC"/>
    <w:rsid w:val="00387D53"/>
    <w:rsid w:val="003901C2"/>
    <w:rsid w:val="003903D3"/>
    <w:rsid w:val="003905E6"/>
    <w:rsid w:val="00390A5A"/>
    <w:rsid w:val="00390CE6"/>
    <w:rsid w:val="00390E9F"/>
    <w:rsid w:val="00390EAA"/>
    <w:rsid w:val="0039146A"/>
    <w:rsid w:val="0039167C"/>
    <w:rsid w:val="00391D85"/>
    <w:rsid w:val="0039296C"/>
    <w:rsid w:val="0039338F"/>
    <w:rsid w:val="00393614"/>
    <w:rsid w:val="003936F2"/>
    <w:rsid w:val="00393873"/>
    <w:rsid w:val="00393BA2"/>
    <w:rsid w:val="00394D01"/>
    <w:rsid w:val="003950DD"/>
    <w:rsid w:val="003958BD"/>
    <w:rsid w:val="00395EC0"/>
    <w:rsid w:val="0039607A"/>
    <w:rsid w:val="003961D6"/>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8C7"/>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2C8"/>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038C"/>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BDA"/>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73F"/>
    <w:rsid w:val="004A6954"/>
    <w:rsid w:val="004A6D92"/>
    <w:rsid w:val="004A6F2C"/>
    <w:rsid w:val="004A72C0"/>
    <w:rsid w:val="004A77EE"/>
    <w:rsid w:val="004A7B8A"/>
    <w:rsid w:val="004B01C9"/>
    <w:rsid w:val="004B1249"/>
    <w:rsid w:val="004B170F"/>
    <w:rsid w:val="004B1A12"/>
    <w:rsid w:val="004B1D2E"/>
    <w:rsid w:val="004B1EEB"/>
    <w:rsid w:val="004B2078"/>
    <w:rsid w:val="004B2482"/>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2C2"/>
    <w:rsid w:val="004F16E2"/>
    <w:rsid w:val="004F1A5F"/>
    <w:rsid w:val="004F21EE"/>
    <w:rsid w:val="004F4010"/>
    <w:rsid w:val="004F52E1"/>
    <w:rsid w:val="004F5348"/>
    <w:rsid w:val="004F5897"/>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343"/>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77F20"/>
    <w:rsid w:val="0058033C"/>
    <w:rsid w:val="00581A68"/>
    <w:rsid w:val="00581B00"/>
    <w:rsid w:val="00582724"/>
    <w:rsid w:val="00582B32"/>
    <w:rsid w:val="005830AB"/>
    <w:rsid w:val="005830F2"/>
    <w:rsid w:val="0058321C"/>
    <w:rsid w:val="005836AF"/>
    <w:rsid w:val="005839FC"/>
    <w:rsid w:val="00583D29"/>
    <w:rsid w:val="00583F21"/>
    <w:rsid w:val="0058454D"/>
    <w:rsid w:val="00584CC2"/>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042"/>
    <w:rsid w:val="00595F91"/>
    <w:rsid w:val="0059650A"/>
    <w:rsid w:val="00596617"/>
    <w:rsid w:val="00596ADF"/>
    <w:rsid w:val="00596EA2"/>
    <w:rsid w:val="00597401"/>
    <w:rsid w:val="005A0333"/>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590A"/>
    <w:rsid w:val="005D59BB"/>
    <w:rsid w:val="005D5E5B"/>
    <w:rsid w:val="005D5F46"/>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1CA"/>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6772"/>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27A18"/>
    <w:rsid w:val="0063099F"/>
    <w:rsid w:val="00630BD3"/>
    <w:rsid w:val="00631142"/>
    <w:rsid w:val="00631C31"/>
    <w:rsid w:val="0063224E"/>
    <w:rsid w:val="006328D9"/>
    <w:rsid w:val="00632E8A"/>
    <w:rsid w:val="006330F0"/>
    <w:rsid w:val="006331FF"/>
    <w:rsid w:val="00633786"/>
    <w:rsid w:val="00633CB5"/>
    <w:rsid w:val="00634B66"/>
    <w:rsid w:val="006353DE"/>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6FB"/>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22D"/>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26E"/>
    <w:rsid w:val="006D07F7"/>
    <w:rsid w:val="006D0DAB"/>
    <w:rsid w:val="006D135E"/>
    <w:rsid w:val="006D1397"/>
    <w:rsid w:val="006D1401"/>
    <w:rsid w:val="006D16AD"/>
    <w:rsid w:val="006D19DC"/>
    <w:rsid w:val="006D1AB2"/>
    <w:rsid w:val="006D1FD3"/>
    <w:rsid w:val="006D239C"/>
    <w:rsid w:val="006D25C7"/>
    <w:rsid w:val="006D31C3"/>
    <w:rsid w:val="006D408E"/>
    <w:rsid w:val="006D4D8C"/>
    <w:rsid w:val="006D5C81"/>
    <w:rsid w:val="006D5D70"/>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A7F"/>
    <w:rsid w:val="006F5B09"/>
    <w:rsid w:val="006F61FC"/>
    <w:rsid w:val="006F65C9"/>
    <w:rsid w:val="006F73DC"/>
    <w:rsid w:val="007002D7"/>
    <w:rsid w:val="007003EF"/>
    <w:rsid w:val="00700D3F"/>
    <w:rsid w:val="00700FC3"/>
    <w:rsid w:val="00701041"/>
    <w:rsid w:val="00701B32"/>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CC1"/>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0C3"/>
    <w:rsid w:val="007762BA"/>
    <w:rsid w:val="0077704B"/>
    <w:rsid w:val="007773C4"/>
    <w:rsid w:val="00780611"/>
    <w:rsid w:val="00780A72"/>
    <w:rsid w:val="007810AF"/>
    <w:rsid w:val="00781721"/>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470"/>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45F6"/>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7B"/>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10015"/>
    <w:rsid w:val="00810C9F"/>
    <w:rsid w:val="008111AC"/>
    <w:rsid w:val="008113DF"/>
    <w:rsid w:val="00811546"/>
    <w:rsid w:val="00811AF8"/>
    <w:rsid w:val="00811BDE"/>
    <w:rsid w:val="00811C6D"/>
    <w:rsid w:val="00812818"/>
    <w:rsid w:val="00812BE4"/>
    <w:rsid w:val="008134ED"/>
    <w:rsid w:val="00813673"/>
    <w:rsid w:val="008145FF"/>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4A6C"/>
    <w:rsid w:val="008258E0"/>
    <w:rsid w:val="008262FC"/>
    <w:rsid w:val="008263F4"/>
    <w:rsid w:val="00830103"/>
    <w:rsid w:val="00830236"/>
    <w:rsid w:val="008304F9"/>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1BF"/>
    <w:rsid w:val="0085352E"/>
    <w:rsid w:val="00853DE6"/>
    <w:rsid w:val="00853E45"/>
    <w:rsid w:val="00853FFE"/>
    <w:rsid w:val="008547AE"/>
    <w:rsid w:val="0085498E"/>
    <w:rsid w:val="0085567B"/>
    <w:rsid w:val="00855690"/>
    <w:rsid w:val="00855F51"/>
    <w:rsid w:val="00855F63"/>
    <w:rsid w:val="00856475"/>
    <w:rsid w:val="00856E70"/>
    <w:rsid w:val="0085714A"/>
    <w:rsid w:val="0085727C"/>
    <w:rsid w:val="0085727F"/>
    <w:rsid w:val="008575B1"/>
    <w:rsid w:val="00857A1F"/>
    <w:rsid w:val="00857ABD"/>
    <w:rsid w:val="0086024D"/>
    <w:rsid w:val="008624E7"/>
    <w:rsid w:val="0086252F"/>
    <w:rsid w:val="00862930"/>
    <w:rsid w:val="00862B09"/>
    <w:rsid w:val="00863247"/>
    <w:rsid w:val="00863301"/>
    <w:rsid w:val="00863423"/>
    <w:rsid w:val="00863426"/>
    <w:rsid w:val="00864689"/>
    <w:rsid w:val="00865854"/>
    <w:rsid w:val="00865E57"/>
    <w:rsid w:val="00865F3C"/>
    <w:rsid w:val="008662BF"/>
    <w:rsid w:val="008666D1"/>
    <w:rsid w:val="008667B8"/>
    <w:rsid w:val="00867928"/>
    <w:rsid w:val="00867E17"/>
    <w:rsid w:val="00870A83"/>
    <w:rsid w:val="00870E01"/>
    <w:rsid w:val="00871644"/>
    <w:rsid w:val="00872029"/>
    <w:rsid w:val="0087220C"/>
    <w:rsid w:val="008724BA"/>
    <w:rsid w:val="00873C49"/>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9A5"/>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1D83"/>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0DFE"/>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B65"/>
    <w:rsid w:val="00935C61"/>
    <w:rsid w:val="00935C75"/>
    <w:rsid w:val="00935E4C"/>
    <w:rsid w:val="00936046"/>
    <w:rsid w:val="009360B3"/>
    <w:rsid w:val="009361D6"/>
    <w:rsid w:val="009363B2"/>
    <w:rsid w:val="00936502"/>
    <w:rsid w:val="00936A27"/>
    <w:rsid w:val="00937269"/>
    <w:rsid w:val="00937685"/>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429"/>
    <w:rsid w:val="00987C39"/>
    <w:rsid w:val="00987DF6"/>
    <w:rsid w:val="0099056B"/>
    <w:rsid w:val="009906EC"/>
    <w:rsid w:val="00990CD5"/>
    <w:rsid w:val="00990EEB"/>
    <w:rsid w:val="0099139B"/>
    <w:rsid w:val="00991450"/>
    <w:rsid w:val="00992100"/>
    <w:rsid w:val="00992728"/>
    <w:rsid w:val="009928DF"/>
    <w:rsid w:val="00993D71"/>
    <w:rsid w:val="00993E02"/>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930"/>
    <w:rsid w:val="009A13EE"/>
    <w:rsid w:val="009A22A8"/>
    <w:rsid w:val="009A23AE"/>
    <w:rsid w:val="009A2860"/>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BF7"/>
    <w:rsid w:val="009D0C73"/>
    <w:rsid w:val="009D118A"/>
    <w:rsid w:val="009D130E"/>
    <w:rsid w:val="009D1513"/>
    <w:rsid w:val="009D1752"/>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AEB"/>
    <w:rsid w:val="00A33D26"/>
    <w:rsid w:val="00A33E8E"/>
    <w:rsid w:val="00A34233"/>
    <w:rsid w:val="00A3457C"/>
    <w:rsid w:val="00A34741"/>
    <w:rsid w:val="00A34BB4"/>
    <w:rsid w:val="00A34BE2"/>
    <w:rsid w:val="00A376B5"/>
    <w:rsid w:val="00A4000C"/>
    <w:rsid w:val="00A40971"/>
    <w:rsid w:val="00A40DF6"/>
    <w:rsid w:val="00A413CA"/>
    <w:rsid w:val="00A415EE"/>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24E"/>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751"/>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3E5"/>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CD8"/>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2B23"/>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1D"/>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C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97"/>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714"/>
    <w:rsid w:val="00B3087D"/>
    <w:rsid w:val="00B3174C"/>
    <w:rsid w:val="00B3183A"/>
    <w:rsid w:val="00B31897"/>
    <w:rsid w:val="00B31A23"/>
    <w:rsid w:val="00B3264E"/>
    <w:rsid w:val="00B331BC"/>
    <w:rsid w:val="00B3320F"/>
    <w:rsid w:val="00B336B8"/>
    <w:rsid w:val="00B337AF"/>
    <w:rsid w:val="00B33D7B"/>
    <w:rsid w:val="00B33DBE"/>
    <w:rsid w:val="00B351BF"/>
    <w:rsid w:val="00B351D5"/>
    <w:rsid w:val="00B36ABA"/>
    <w:rsid w:val="00B36BCE"/>
    <w:rsid w:val="00B37330"/>
    <w:rsid w:val="00B37649"/>
    <w:rsid w:val="00B37662"/>
    <w:rsid w:val="00B377DD"/>
    <w:rsid w:val="00B37F54"/>
    <w:rsid w:val="00B406F1"/>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BD0"/>
    <w:rsid w:val="00B95E0B"/>
    <w:rsid w:val="00B9629D"/>
    <w:rsid w:val="00B973B5"/>
    <w:rsid w:val="00B97422"/>
    <w:rsid w:val="00B97592"/>
    <w:rsid w:val="00BA0038"/>
    <w:rsid w:val="00BA105E"/>
    <w:rsid w:val="00BA23E7"/>
    <w:rsid w:val="00BA26A9"/>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95"/>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D7FDA"/>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084"/>
    <w:rsid w:val="00C23C26"/>
    <w:rsid w:val="00C23F5B"/>
    <w:rsid w:val="00C24C80"/>
    <w:rsid w:val="00C25825"/>
    <w:rsid w:val="00C25853"/>
    <w:rsid w:val="00C25A3E"/>
    <w:rsid w:val="00C2694E"/>
    <w:rsid w:val="00C2696C"/>
    <w:rsid w:val="00C273B8"/>
    <w:rsid w:val="00C304F3"/>
    <w:rsid w:val="00C305F1"/>
    <w:rsid w:val="00C30DCD"/>
    <w:rsid w:val="00C30DE0"/>
    <w:rsid w:val="00C31274"/>
    <w:rsid w:val="00C31680"/>
    <w:rsid w:val="00C31998"/>
    <w:rsid w:val="00C327C6"/>
    <w:rsid w:val="00C32BA3"/>
    <w:rsid w:val="00C32C20"/>
    <w:rsid w:val="00C32DE3"/>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55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256"/>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216E"/>
    <w:rsid w:val="00C94BF2"/>
    <w:rsid w:val="00C950EA"/>
    <w:rsid w:val="00C9533C"/>
    <w:rsid w:val="00C95E5B"/>
    <w:rsid w:val="00C96032"/>
    <w:rsid w:val="00C9779D"/>
    <w:rsid w:val="00CA0B6C"/>
    <w:rsid w:val="00CA0DDE"/>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8B4"/>
    <w:rsid w:val="00CB1902"/>
    <w:rsid w:val="00CB1F9F"/>
    <w:rsid w:val="00CB2685"/>
    <w:rsid w:val="00CB2AAC"/>
    <w:rsid w:val="00CB2CD3"/>
    <w:rsid w:val="00CB30B8"/>
    <w:rsid w:val="00CB3EA5"/>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AF9"/>
    <w:rsid w:val="00CC3CDB"/>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28E6"/>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01"/>
    <w:rsid w:val="00D55C6C"/>
    <w:rsid w:val="00D5603F"/>
    <w:rsid w:val="00D561E7"/>
    <w:rsid w:val="00D56E2B"/>
    <w:rsid w:val="00D56E57"/>
    <w:rsid w:val="00D570C2"/>
    <w:rsid w:val="00D573A6"/>
    <w:rsid w:val="00D610C6"/>
    <w:rsid w:val="00D61428"/>
    <w:rsid w:val="00D61673"/>
    <w:rsid w:val="00D617EB"/>
    <w:rsid w:val="00D61DCC"/>
    <w:rsid w:val="00D628A0"/>
    <w:rsid w:val="00D62DB6"/>
    <w:rsid w:val="00D6340D"/>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5CB"/>
    <w:rsid w:val="00D72A09"/>
    <w:rsid w:val="00D72CBB"/>
    <w:rsid w:val="00D72F84"/>
    <w:rsid w:val="00D72FAC"/>
    <w:rsid w:val="00D73EEA"/>
    <w:rsid w:val="00D747FA"/>
    <w:rsid w:val="00D74A58"/>
    <w:rsid w:val="00D750B7"/>
    <w:rsid w:val="00D7520C"/>
    <w:rsid w:val="00D75370"/>
    <w:rsid w:val="00D75376"/>
    <w:rsid w:val="00D75FB2"/>
    <w:rsid w:val="00D76AC9"/>
    <w:rsid w:val="00D76EE2"/>
    <w:rsid w:val="00D76F0A"/>
    <w:rsid w:val="00D77343"/>
    <w:rsid w:val="00D77849"/>
    <w:rsid w:val="00D8001F"/>
    <w:rsid w:val="00D8013D"/>
    <w:rsid w:val="00D80A5B"/>
    <w:rsid w:val="00D8110F"/>
    <w:rsid w:val="00D81167"/>
    <w:rsid w:val="00D8131C"/>
    <w:rsid w:val="00D819A9"/>
    <w:rsid w:val="00D81BFB"/>
    <w:rsid w:val="00D82237"/>
    <w:rsid w:val="00D8230F"/>
    <w:rsid w:val="00D839F0"/>
    <w:rsid w:val="00D83D14"/>
    <w:rsid w:val="00D84B60"/>
    <w:rsid w:val="00D84F5D"/>
    <w:rsid w:val="00D85402"/>
    <w:rsid w:val="00D86C34"/>
    <w:rsid w:val="00D86C6C"/>
    <w:rsid w:val="00D876D0"/>
    <w:rsid w:val="00D905FA"/>
    <w:rsid w:val="00D90B88"/>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B7460"/>
    <w:rsid w:val="00DC0799"/>
    <w:rsid w:val="00DC1704"/>
    <w:rsid w:val="00DC1D58"/>
    <w:rsid w:val="00DC225C"/>
    <w:rsid w:val="00DC24D9"/>
    <w:rsid w:val="00DC266A"/>
    <w:rsid w:val="00DC2762"/>
    <w:rsid w:val="00DC2A73"/>
    <w:rsid w:val="00DC2A8D"/>
    <w:rsid w:val="00DC2B50"/>
    <w:rsid w:val="00DC35F7"/>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716"/>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6EBF"/>
    <w:rsid w:val="00E07C0A"/>
    <w:rsid w:val="00E07F41"/>
    <w:rsid w:val="00E10D65"/>
    <w:rsid w:val="00E11A21"/>
    <w:rsid w:val="00E11C52"/>
    <w:rsid w:val="00E12068"/>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66"/>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BC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6B62"/>
    <w:rsid w:val="00E57BC5"/>
    <w:rsid w:val="00E60463"/>
    <w:rsid w:val="00E60754"/>
    <w:rsid w:val="00E608C2"/>
    <w:rsid w:val="00E609A1"/>
    <w:rsid w:val="00E6162D"/>
    <w:rsid w:val="00E61880"/>
    <w:rsid w:val="00E61C3D"/>
    <w:rsid w:val="00E61EDA"/>
    <w:rsid w:val="00E62982"/>
    <w:rsid w:val="00E62DA6"/>
    <w:rsid w:val="00E63065"/>
    <w:rsid w:val="00E635D1"/>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2F71"/>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94B"/>
    <w:rsid w:val="00EB1BDB"/>
    <w:rsid w:val="00EB2706"/>
    <w:rsid w:val="00EB2DE9"/>
    <w:rsid w:val="00EB3005"/>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91"/>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463"/>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8B4"/>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051"/>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286"/>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4A1"/>
    <w:rsid w:val="00F8466F"/>
    <w:rsid w:val="00F8475C"/>
    <w:rsid w:val="00F84E0B"/>
    <w:rsid w:val="00F850A0"/>
    <w:rsid w:val="00F85E94"/>
    <w:rsid w:val="00F86516"/>
    <w:rsid w:val="00F87227"/>
    <w:rsid w:val="00F87874"/>
    <w:rsid w:val="00F87D69"/>
    <w:rsid w:val="00F9033D"/>
    <w:rsid w:val="00F90360"/>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D8C"/>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ED"/>
    <w:rsid w:val="00FE695C"/>
    <w:rsid w:val="00FE6C70"/>
    <w:rsid w:val="00FE6F47"/>
    <w:rsid w:val="00FE72B2"/>
    <w:rsid w:val="00FE7BA4"/>
    <w:rsid w:val="00FE7E70"/>
    <w:rsid w:val="00FF0734"/>
    <w:rsid w:val="00FF0BCD"/>
    <w:rsid w:val="00FF0C84"/>
    <w:rsid w:val="00FF0E38"/>
    <w:rsid w:val="00FF12D7"/>
    <w:rsid w:val="00FF226E"/>
    <w:rsid w:val="00FF23C7"/>
    <w:rsid w:val="00FF347C"/>
    <w:rsid w:val="00FF3C5F"/>
    <w:rsid w:val="00FF3D19"/>
    <w:rsid w:val="00FF4F4D"/>
    <w:rsid w:val="00FF50DD"/>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A26A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99D64-8E29-43A7-B4DB-DEED1AA1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97</TotalTime>
  <Pages>8</Pages>
  <Words>2843</Words>
  <Characters>16206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19011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9</cp:revision>
  <cp:lastPrinted>2010-01-07T02:23:00Z</cp:lastPrinted>
  <dcterms:created xsi:type="dcterms:W3CDTF">2024-05-13T09:59:00Z</dcterms:created>
  <dcterms:modified xsi:type="dcterms:W3CDTF">2024-05-13T12:27:00Z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(3)wmZMjt7RfbWhwQ+Ii2A6H4ximuAyNVMgkrIKGWQutIvJldSKsuZ+aLmXzgQwJhQFx9dMcyvh
3fKvGeorSU7vU12S+w6cUi5H0UUGknGobnQ1rYHrDqsLRJgzv0GuTbVuC86F9Rh552/HKDAg
zKbEFXhUZksnoT5vqSfgKwORDYkGuEJUQaYZM2IRNfFLiOkpZ4trelTmKC9pwh5gz9PuZZaQ
KQ7DeEFuvdjGk6n6hz</vt:lpwstr>
  </property>
  <property fmtid="{D5CDD505-2E9C-101B-9397-08002B2CF9AE}" pid="15" name="_2015_ms_pID_725343_00">
    <vt:lpwstr>_2015_ms_pID_725343</vt:lpwstr>
  </property>
  <property fmtid="{D5CDD505-2E9C-101B-9397-08002B2CF9AE}" pid="16" name="_2015_ms_pID_7253431">
    <vt:lpwstr>1fs49Z4eD0DxULppcyFWVqDyCv/W3MyfYsjuBJtyRBGYFrcigaBkVm
+NHujGD8c/MfD4eMDFmY9U7S6uFDq+b1kxqXMAnbev9inMwFyGSzZK2aQ/vZuDHpHot7dZJ8
lhTDSUw2MC2Nt1gR3c7kF7LKHDuPsu5yd/iMVhYHhaKpyc8RTMjjVDm7jxfdSsMfwKC3OHPF
7/Ogu+Jc9Pv7Mk/hVnNAQk/Y+/YIQ9TFIkWh</vt:lpwstr>
  </property>
  <property fmtid="{D5CDD505-2E9C-101B-9397-08002B2CF9AE}" pid="17" name="_2015_ms_pID_7253431_00">
    <vt:lpwstr>_2015_ms_pID_7253431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